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844DC" w14:textId="43206F9D" w:rsidR="003E0BB3" w:rsidRDefault="00E4164E">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Style w:val="FootnoteReference"/>
          <w:rFonts w:ascii="Calibri" w:hAnsi="Calibri"/>
          <w:b/>
          <w:bCs/>
          <w:color w:val="00558C"/>
          <w:sz w:val="24"/>
          <w:szCs w:val="24"/>
        </w:rPr>
        <w:footnoteReference w:id="1"/>
      </w:r>
      <w:r>
        <w:rPr>
          <w:rFonts w:ascii="Calibri" w:hAnsi="Calibri"/>
          <w:b/>
          <w:bCs/>
          <w:color w:val="00558C"/>
          <w:sz w:val="24"/>
          <w:szCs w:val="24"/>
        </w:rPr>
        <w:t xml:space="preserve">  </w:t>
      </w:r>
      <w:r>
        <w:rPr>
          <w:rFonts w:ascii="Calibri" w:eastAsia="SimSun" w:hAnsi="Calibri" w:hint="eastAsia"/>
          <w:color w:val="00558C"/>
          <w:sz w:val="24"/>
          <w:szCs w:val="24"/>
          <w:lang w:val="en-US" w:eastAsia="zh-CN"/>
        </w:rPr>
        <w:t>DTEC5</w:t>
      </w:r>
      <w:r>
        <w:rPr>
          <w:rFonts w:ascii="Calibri" w:hAnsi="Calibri"/>
          <w:color w:val="00558C"/>
          <w:sz w:val="24"/>
          <w:szCs w:val="24"/>
        </w:rPr>
        <w:t>-</w:t>
      </w:r>
      <w:r w:rsidR="00345FAF">
        <w:rPr>
          <w:rFonts w:ascii="Calibri" w:hAnsi="Calibri"/>
          <w:color w:val="00558C"/>
          <w:sz w:val="24"/>
          <w:szCs w:val="24"/>
        </w:rPr>
        <w:t>6.2.3.3</w:t>
      </w:r>
    </w:p>
    <w:p w14:paraId="107844DD" w14:textId="77777777" w:rsidR="003E0BB3" w:rsidRDefault="003E0BB3">
      <w:pPr>
        <w:pStyle w:val="BodyText"/>
        <w:tabs>
          <w:tab w:val="left" w:pos="2835"/>
        </w:tabs>
        <w:rPr>
          <w:rFonts w:ascii="Calibri" w:hAnsi="Calibri"/>
        </w:rPr>
      </w:pPr>
    </w:p>
    <w:p w14:paraId="107844DE" w14:textId="77777777" w:rsidR="003E0BB3" w:rsidRDefault="00E4164E">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107844DF" w14:textId="77777777" w:rsidR="003E0BB3" w:rsidRDefault="00E4164E">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107844E0" w14:textId="77777777" w:rsidR="003E0BB3" w:rsidRDefault="00975C9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E4164E">
            <w:rPr>
              <w:rFonts w:ascii="MS Gothic" w:eastAsia="MS Gothic" w:hAnsi="MS Gothic" w:cs="Arial" w:hint="eastAsia"/>
              <w:b/>
              <w:sz w:val="24"/>
              <w:szCs w:val="24"/>
            </w:rPr>
            <w:t>☐</w:t>
          </w:r>
        </w:sdtContent>
      </w:sdt>
      <w:r w:rsidR="00E4164E">
        <w:rPr>
          <w:rFonts w:ascii="Calibri" w:hAnsi="Calibri" w:cs="Arial"/>
          <w:sz w:val="24"/>
          <w:szCs w:val="24"/>
        </w:rPr>
        <w:t xml:space="preserve"> </w:t>
      </w:r>
      <w:r w:rsidR="00E4164E">
        <w:rPr>
          <w:rFonts w:ascii="Calibri" w:hAnsi="Calibri" w:cs="Arial"/>
        </w:rPr>
        <w:t>ARM</w:t>
      </w:r>
      <w:r w:rsidR="00E4164E">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E4164E">
            <w:rPr>
              <w:rFonts w:ascii="MS Gothic" w:eastAsia="MS Gothic" w:hAnsi="MS Gothic" w:cs="Arial" w:hint="eastAsia"/>
              <w:b/>
              <w:sz w:val="24"/>
              <w:szCs w:val="24"/>
            </w:rPr>
            <w:t>☐</w:t>
          </w:r>
        </w:sdtContent>
      </w:sdt>
      <w:r w:rsidR="00E4164E">
        <w:rPr>
          <w:rFonts w:ascii="Calibri" w:hAnsi="Calibri" w:cs="Arial"/>
          <w:sz w:val="24"/>
          <w:szCs w:val="24"/>
        </w:rPr>
        <w:t xml:space="preserve">  </w:t>
      </w:r>
      <w:r w:rsidR="00E4164E">
        <w:rPr>
          <w:rFonts w:ascii="Calibri" w:hAnsi="Calibri" w:cs="Arial"/>
        </w:rPr>
        <w:t>ENG</w:t>
      </w:r>
      <w:r w:rsidR="00E4164E">
        <w:rPr>
          <w:rFonts w:ascii="Calibri" w:hAnsi="Calibri" w:cs="Arial"/>
        </w:rPr>
        <w:tab/>
      </w:r>
      <w:r w:rsidR="00E4164E">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E4164E">
            <w:rPr>
              <w:rFonts w:ascii="MS Gothic" w:eastAsia="MS Gothic" w:hAnsi="MS Gothic" w:cs="Arial" w:hint="eastAsia"/>
              <w:b/>
              <w:sz w:val="24"/>
              <w:szCs w:val="24"/>
            </w:rPr>
            <w:t>☐</w:t>
          </w:r>
        </w:sdtContent>
      </w:sdt>
      <w:r w:rsidR="00E4164E">
        <w:rPr>
          <w:rFonts w:ascii="Calibri" w:hAnsi="Calibri" w:cs="Arial"/>
          <w:sz w:val="24"/>
          <w:szCs w:val="24"/>
        </w:rPr>
        <w:t xml:space="preserve"> </w:t>
      </w:r>
      <w:bookmarkEnd w:id="0"/>
      <w:r w:rsidR="00E4164E">
        <w:rPr>
          <w:rFonts w:ascii="Calibri" w:hAnsi="Calibri" w:cs="Arial"/>
        </w:rPr>
        <w:t>PAP</w:t>
      </w:r>
      <w:r w:rsidR="00E4164E">
        <w:rPr>
          <w:rFonts w:ascii="Calibri" w:hAnsi="Calibri" w:cs="Arial"/>
          <w:sz w:val="24"/>
          <w:szCs w:val="24"/>
        </w:rPr>
        <w:tab/>
      </w:r>
      <w:r w:rsidR="00E4164E">
        <w:rPr>
          <w:rFonts w:ascii="Calibri" w:hAnsi="Calibri" w:cs="Arial"/>
          <w:sz w:val="24"/>
          <w:szCs w:val="24"/>
        </w:rPr>
        <w:tab/>
      </w:r>
      <w:r w:rsidR="00E4164E">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E4164E">
            <w:rPr>
              <w:rFonts w:ascii="MS Gothic" w:eastAsia="MS Gothic" w:hAnsi="MS Gothic" w:cs="Arial" w:hint="eastAsia"/>
              <w:b/>
              <w:sz w:val="24"/>
              <w:szCs w:val="24"/>
            </w:rPr>
            <w:t>☒</w:t>
          </w:r>
        </w:sdtContent>
      </w:sdt>
      <w:r w:rsidR="00E4164E">
        <w:rPr>
          <w:rFonts w:ascii="Calibri" w:hAnsi="Calibri" w:cs="Arial"/>
          <w:sz w:val="24"/>
          <w:szCs w:val="24"/>
        </w:rPr>
        <w:t xml:space="preserve"> </w:t>
      </w:r>
      <w:r w:rsidR="00E4164E">
        <w:rPr>
          <w:rFonts w:ascii="Calibri" w:hAnsi="Calibri" w:cs="Arial"/>
        </w:rPr>
        <w:t>Input</w:t>
      </w:r>
    </w:p>
    <w:p w14:paraId="107844E1" w14:textId="77777777" w:rsidR="003E0BB3" w:rsidRDefault="00975C9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E4164E">
            <w:rPr>
              <w:rFonts w:ascii="MS Gothic" w:eastAsia="MS Gothic" w:hAnsi="MS Gothic" w:cs="Arial" w:hint="eastAsia"/>
              <w:b/>
            </w:rPr>
            <w:t>☒</w:t>
          </w:r>
        </w:sdtContent>
      </w:sdt>
      <w:r w:rsidR="00E4164E">
        <w:rPr>
          <w:rFonts w:ascii="Calibri" w:hAnsi="Calibri" w:cs="Arial"/>
        </w:rPr>
        <w:t xml:space="preserve"> </w:t>
      </w:r>
      <w:r w:rsidR="00E4164E">
        <w:rPr>
          <w:rFonts w:ascii="Calibri" w:eastAsia="SimSun" w:hAnsi="Calibri" w:cs="Arial" w:hint="eastAsia"/>
          <w:lang w:val="en-US" w:eastAsia="zh-CN"/>
        </w:rPr>
        <w:t>DTEC</w:t>
      </w:r>
      <w:r w:rsidR="00E4164E">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E4164E">
            <w:rPr>
              <w:rFonts w:ascii="MS Gothic" w:eastAsia="MS Gothic" w:hAnsi="MS Gothic" w:cs="Arial" w:hint="eastAsia"/>
              <w:b/>
            </w:rPr>
            <w:t>☐</w:t>
          </w:r>
        </w:sdtContent>
      </w:sdt>
      <w:r w:rsidR="00E4164E">
        <w:rPr>
          <w:rFonts w:ascii="Calibri" w:hAnsi="Calibri" w:cs="Arial"/>
        </w:rPr>
        <w:t xml:space="preserve"> VTS</w:t>
      </w:r>
      <w:r w:rsidR="00E4164E">
        <w:rPr>
          <w:rFonts w:ascii="Calibri" w:hAnsi="Calibri" w:cs="Arial"/>
        </w:rPr>
        <w:tab/>
      </w:r>
      <w:r w:rsidR="00E4164E">
        <w:rPr>
          <w:rFonts w:ascii="Calibri" w:hAnsi="Calibri" w:cs="Arial"/>
        </w:rPr>
        <w:tab/>
      </w:r>
      <w:r w:rsidR="00E4164E">
        <w:rPr>
          <w:rFonts w:ascii="Calibri" w:hAnsi="Calibri" w:cs="Arial"/>
        </w:rPr>
        <w:tab/>
      </w:r>
      <w:r w:rsidR="00E4164E">
        <w:rPr>
          <w:rFonts w:ascii="Calibri" w:hAnsi="Calibri" w:cs="Arial"/>
        </w:rPr>
        <w:tab/>
      </w:r>
      <w:r w:rsidR="00E4164E">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E4164E">
            <w:rPr>
              <w:rFonts w:ascii="MS Gothic" w:eastAsia="MS Gothic" w:hAnsi="MS Gothic" w:cs="Arial" w:hint="eastAsia"/>
              <w:b/>
            </w:rPr>
            <w:t>☐</w:t>
          </w:r>
        </w:sdtContent>
      </w:sdt>
      <w:r w:rsidR="00E4164E">
        <w:rPr>
          <w:rFonts w:ascii="Calibri" w:hAnsi="Calibri" w:cs="Arial"/>
        </w:rPr>
        <w:t xml:space="preserve"> Information</w:t>
      </w:r>
    </w:p>
    <w:p w14:paraId="107844E2" w14:textId="77777777" w:rsidR="003E0BB3" w:rsidRDefault="003E0BB3">
      <w:pPr>
        <w:pStyle w:val="BodyText"/>
        <w:tabs>
          <w:tab w:val="left" w:pos="2835"/>
        </w:tabs>
        <w:rPr>
          <w:rFonts w:ascii="Calibri" w:hAnsi="Calibri"/>
        </w:rPr>
      </w:pPr>
    </w:p>
    <w:p w14:paraId="107844E3" w14:textId="77777777" w:rsidR="003E0BB3" w:rsidRDefault="00E4164E">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Style w:val="FootnoteReference"/>
          <w:rFonts w:ascii="Calibri" w:hAnsi="Calibri"/>
          <w:sz w:val="22"/>
        </w:rPr>
        <w:footnoteReference w:id="2"/>
      </w:r>
      <w:r>
        <w:rPr>
          <w:rFonts w:ascii="Calibri" w:hAnsi="Calibri"/>
        </w:rPr>
        <w:tab/>
      </w:r>
      <w:r>
        <w:rPr>
          <w:rFonts w:ascii="Calibri" w:hAnsi="Calibri"/>
        </w:rPr>
        <w:tab/>
      </w:r>
      <w:r>
        <w:rPr>
          <w:rFonts w:ascii="Calibri" w:hAnsi="Calibri"/>
        </w:rPr>
        <w:tab/>
        <w:t>n.n</w:t>
      </w:r>
    </w:p>
    <w:p w14:paraId="107844E4" w14:textId="77777777" w:rsidR="003E0BB3" w:rsidRDefault="00E4164E">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vertAlign w:val="superscript"/>
        </w:rPr>
        <w:t>2</w:t>
      </w:r>
      <w:r>
        <w:rPr>
          <w:rFonts w:ascii="Calibri" w:hAnsi="Calibri"/>
        </w:rPr>
        <w:tab/>
        <w:t>…………………………………</w:t>
      </w:r>
    </w:p>
    <w:p w14:paraId="107844E5" w14:textId="77777777" w:rsidR="003E0BB3" w:rsidRDefault="00E4164E">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107844E6" w14:textId="77777777" w:rsidR="003E0BB3" w:rsidRDefault="00E4164E">
      <w:pPr>
        <w:pStyle w:val="BodyText"/>
        <w:tabs>
          <w:tab w:val="left" w:pos="7860"/>
        </w:tabs>
        <w:rPr>
          <w:rFonts w:ascii="Calibri" w:hAnsi="Calibri"/>
        </w:rPr>
      </w:pPr>
      <w:r>
        <w:rPr>
          <w:rFonts w:ascii="Calibri" w:hAnsi="Calibri"/>
        </w:rPr>
        <w:tab/>
      </w:r>
    </w:p>
    <w:p w14:paraId="107844E7" w14:textId="77777777" w:rsidR="003E0BB3" w:rsidRDefault="00E4164E">
      <w:pPr>
        <w:pStyle w:val="Title"/>
        <w:rPr>
          <w:rFonts w:eastAsia="SimSun"/>
          <w:lang w:eastAsia="zh-CN"/>
        </w:rPr>
      </w:pPr>
      <w:r>
        <w:t>Proposal to Supplement the Guideline for Shore VDES Infrastructure with a Chapter on Data Service Interface Specification</w:t>
      </w:r>
      <w:r>
        <w:rPr>
          <w:rStyle w:val="FootnoteReference"/>
          <w:rFonts w:ascii="Arial Bold" w:hAnsi="Arial Bold"/>
          <w:sz w:val="28"/>
          <w:vertAlign w:val="baseline"/>
        </w:rPr>
        <w:t xml:space="preserve"> </w:t>
      </w:r>
      <w:r>
        <w:rPr>
          <w:rStyle w:val="FootnoteReference"/>
        </w:rPr>
        <w:footnoteReference w:id="3"/>
      </w:r>
    </w:p>
    <w:p w14:paraId="107844E8" w14:textId="77777777" w:rsidR="003E0BB3" w:rsidRDefault="00E4164E">
      <w:pPr>
        <w:pStyle w:val="Heading1"/>
      </w:pPr>
      <w:r>
        <w:t>Summary</w:t>
      </w:r>
    </w:p>
    <w:p w14:paraId="107844E9" w14:textId="77777777" w:rsidR="003E0BB3" w:rsidRDefault="00E4164E">
      <w:pPr>
        <w:pStyle w:val="BodyText"/>
        <w:rPr>
          <w:rFonts w:ascii="Calibri" w:hAnsi="Calibri"/>
          <w:lang w:eastAsia="zh-CN"/>
        </w:rPr>
      </w:pPr>
      <w:r>
        <w:rPr>
          <w:rFonts w:ascii="Calibri" w:hAnsi="Calibri"/>
          <w:lang w:eastAsia="zh-CN"/>
        </w:rPr>
        <w:t xml:space="preserve">The DTEC1 meeting proposed the development of a new guideline for shore </w:t>
      </w:r>
      <w:r>
        <w:rPr>
          <w:rFonts w:ascii="Calibri" w:hAnsi="Calibri" w:hint="eastAsia"/>
          <w:lang w:eastAsia="zh-CN"/>
        </w:rPr>
        <w:t>VDES</w:t>
      </w:r>
      <w:r>
        <w:rPr>
          <w:rFonts w:ascii="Calibri" w:hAnsi="Calibri"/>
          <w:lang w:eastAsia="zh-CN"/>
        </w:rPr>
        <w:t xml:space="preserve"> infrastructure, intended to integrate the content of Recommendations R0124 and R1007. At the DTEC4 meeting, ALLFORLAND further refined the draft and invited contributions from members to finalize this guideline. This proposal recommends supplementing the guideline for shore </w:t>
      </w:r>
      <w:r>
        <w:rPr>
          <w:rFonts w:ascii="Calibri" w:hAnsi="Calibri" w:hint="eastAsia"/>
          <w:lang w:eastAsia="zh-CN"/>
        </w:rPr>
        <w:t>VDES</w:t>
      </w:r>
      <w:r>
        <w:rPr>
          <w:rFonts w:ascii="Calibri" w:hAnsi="Calibri"/>
          <w:lang w:eastAsia="zh-CN"/>
        </w:rPr>
        <w:t xml:space="preserve"> infrastructure with a specification for data service interfaces for VDES shore systems. An example illustrating the use of UTF-8 as a basis for such an interface specification is provided in Appendix A, serving as a reference for the subsequent development of a complete specification.</w:t>
      </w:r>
    </w:p>
    <w:p w14:paraId="107844EA" w14:textId="77777777" w:rsidR="003E0BB3" w:rsidRDefault="00E4164E">
      <w:pPr>
        <w:pStyle w:val="Heading2"/>
      </w:pPr>
      <w:r>
        <w:t>Purpose of the document</w:t>
      </w:r>
    </w:p>
    <w:p w14:paraId="107844EB" w14:textId="77777777" w:rsidR="003E0BB3" w:rsidRDefault="00E4164E">
      <w:pPr>
        <w:pStyle w:val="BodyText"/>
        <w:rPr>
          <w:rFonts w:ascii="Calibri" w:hAnsi="Calibri"/>
          <w:lang w:eastAsia="zh-CN"/>
        </w:rPr>
      </w:pPr>
      <w:r>
        <w:rPr>
          <w:rFonts w:ascii="Calibri" w:hAnsi="Calibri"/>
          <w:lang w:eastAsia="zh-CN"/>
        </w:rPr>
        <w:t xml:space="preserve">This document aims to propose the inclusion of a service interface specification based on the S-100 framework within the guideline for shore </w:t>
      </w:r>
      <w:r>
        <w:rPr>
          <w:rFonts w:ascii="Calibri" w:hAnsi="Calibri" w:hint="eastAsia"/>
          <w:lang w:eastAsia="zh-CN"/>
        </w:rPr>
        <w:t>VDES</w:t>
      </w:r>
      <w:r>
        <w:rPr>
          <w:rFonts w:ascii="Calibri" w:hAnsi="Calibri"/>
          <w:lang w:eastAsia="zh-CN"/>
        </w:rPr>
        <w:t xml:space="preserve"> infrastructure. It seeks endorsement from the IALA DTEC5 Committee for adopting an S-100 framework-based user interface in the Guideline. The Committee is also requested to consider the accompanying draft interface specification for inclusion as part of the guideline, subject to further development and refinement.</w:t>
      </w:r>
    </w:p>
    <w:p w14:paraId="107844EC" w14:textId="77777777" w:rsidR="003E0BB3" w:rsidRDefault="00E4164E">
      <w:pPr>
        <w:pStyle w:val="Heading2"/>
      </w:pPr>
      <w:r>
        <w:t>Related documents</w:t>
      </w:r>
    </w:p>
    <w:p w14:paraId="107844ED" w14:textId="77777777" w:rsidR="003E0BB3" w:rsidRDefault="00E4164E">
      <w:pPr>
        <w:pStyle w:val="BodyText"/>
        <w:numPr>
          <w:ilvl w:val="0"/>
          <w:numId w:val="25"/>
        </w:numPr>
        <w:rPr>
          <w:rFonts w:ascii="Calibri" w:hAnsi="Calibri"/>
        </w:rPr>
      </w:pPr>
      <w:r>
        <w:rPr>
          <w:rFonts w:ascii="Calibri" w:hAnsi="Calibri"/>
        </w:rPr>
        <w:t>ITU-R M.2092-1, Technical characteristics for a VHF data exchange system in the VHF maritime mobile band, February 2022</w:t>
      </w:r>
    </w:p>
    <w:p w14:paraId="107844EE" w14:textId="77777777" w:rsidR="003E0BB3" w:rsidRDefault="00E4164E">
      <w:pPr>
        <w:pStyle w:val="BodyText"/>
        <w:numPr>
          <w:ilvl w:val="0"/>
          <w:numId w:val="25"/>
        </w:numPr>
        <w:rPr>
          <w:rFonts w:ascii="Calibri" w:hAnsi="Calibri"/>
        </w:rPr>
      </w:pPr>
      <w:r>
        <w:rPr>
          <w:rFonts w:ascii="Calibri" w:hAnsi="Calibri"/>
        </w:rPr>
        <w:t>IALA G1117, VHF Data Exchange System (VDES) Overview, December 2022</w:t>
      </w:r>
    </w:p>
    <w:p w14:paraId="107844EF" w14:textId="77777777" w:rsidR="003E0BB3" w:rsidRDefault="00E4164E">
      <w:pPr>
        <w:pStyle w:val="BodyText"/>
        <w:numPr>
          <w:ilvl w:val="0"/>
          <w:numId w:val="25"/>
        </w:numPr>
        <w:rPr>
          <w:rFonts w:ascii="Calibri" w:hAnsi="Calibri"/>
        </w:rPr>
      </w:pPr>
      <w:r>
        <w:rPr>
          <w:rFonts w:ascii="Calibri" w:hAnsi="Calibri"/>
        </w:rPr>
        <w:lastRenderedPageBreak/>
        <w:t>IALA R1007, The VHF Data Exchange System (VDES) for Shore Infrastructure, June 2017</w:t>
      </w:r>
    </w:p>
    <w:p w14:paraId="107844F0" w14:textId="77777777" w:rsidR="003E0BB3" w:rsidRDefault="00E4164E">
      <w:pPr>
        <w:pStyle w:val="BodyText"/>
        <w:numPr>
          <w:ilvl w:val="0"/>
          <w:numId w:val="25"/>
        </w:numPr>
        <w:rPr>
          <w:rFonts w:ascii="Calibri" w:hAnsi="Calibri"/>
          <w:lang w:eastAsia="zh-CN"/>
        </w:rPr>
      </w:pPr>
      <w:r>
        <w:rPr>
          <w:rFonts w:ascii="Calibri" w:hAnsi="Calibri"/>
        </w:rPr>
        <w:t>IALA R0124 Ed2.2, The AIS Service, December 2012</w:t>
      </w:r>
    </w:p>
    <w:p w14:paraId="107844F1" w14:textId="77777777" w:rsidR="003E0BB3" w:rsidRDefault="00E4164E">
      <w:pPr>
        <w:pStyle w:val="BodyText"/>
        <w:numPr>
          <w:ilvl w:val="0"/>
          <w:numId w:val="25"/>
        </w:numPr>
        <w:rPr>
          <w:rFonts w:ascii="Calibri" w:hAnsi="Calibri"/>
          <w:lang w:eastAsia="zh-CN"/>
        </w:rPr>
      </w:pPr>
      <w:r>
        <w:rPr>
          <w:rFonts w:ascii="Calibri" w:hAnsi="Calibri"/>
        </w:rPr>
        <w:t>IHO S-100 Universal Hydrographic Data Model, Edition 5.</w:t>
      </w:r>
      <w:r>
        <w:rPr>
          <w:rFonts w:ascii="Calibri" w:hAnsi="Calibri" w:hint="eastAsia"/>
          <w:lang w:eastAsia="zh-CN"/>
        </w:rPr>
        <w:t>2</w:t>
      </w:r>
      <w:r>
        <w:rPr>
          <w:rFonts w:ascii="Calibri" w:hAnsi="Calibri"/>
        </w:rPr>
        <w:t>.0, 202</w:t>
      </w:r>
      <w:r>
        <w:rPr>
          <w:rFonts w:ascii="Calibri" w:hAnsi="Calibri" w:hint="eastAsia"/>
          <w:lang w:eastAsia="zh-CN"/>
        </w:rPr>
        <w:t>4</w:t>
      </w:r>
    </w:p>
    <w:p w14:paraId="107844F2" w14:textId="77777777" w:rsidR="003E0BB3" w:rsidRDefault="00E4164E">
      <w:pPr>
        <w:pStyle w:val="BodyText"/>
        <w:numPr>
          <w:ilvl w:val="0"/>
          <w:numId w:val="25"/>
        </w:numPr>
        <w:rPr>
          <w:rFonts w:ascii="Calibri" w:hAnsi="Calibri"/>
          <w:lang w:eastAsia="zh-CN"/>
        </w:rPr>
      </w:pPr>
      <w:r>
        <w:rPr>
          <w:rFonts w:ascii="Calibri" w:hAnsi="Calibri"/>
        </w:rPr>
        <w:t>IALA S-201 Aids to Navigation Information Product Specification, Ed.1.9.0, 2025</w:t>
      </w:r>
    </w:p>
    <w:p w14:paraId="107844F3" w14:textId="77777777" w:rsidR="003E0BB3" w:rsidRDefault="00E4164E">
      <w:pPr>
        <w:pStyle w:val="Heading1"/>
      </w:pPr>
      <w:r>
        <w:t>Background</w:t>
      </w:r>
    </w:p>
    <w:p w14:paraId="107844F4" w14:textId="77777777" w:rsidR="003E0BB3" w:rsidRDefault="00E4164E">
      <w:pPr>
        <w:pStyle w:val="BodyText"/>
        <w:rPr>
          <w:rFonts w:ascii="Calibri" w:hAnsi="Calibri"/>
          <w:lang w:eastAsia="zh-CN"/>
        </w:rPr>
      </w:pPr>
      <w:bookmarkStart w:id="1" w:name="OLE_LINK2"/>
      <w:r>
        <w:rPr>
          <w:rFonts w:ascii="Calibri" w:hAnsi="Calibri"/>
          <w:lang w:eastAsia="zh-CN"/>
        </w:rPr>
        <w:t>The shore VDES infrastructure is responsible for exchanging data with shipborne terminals and other shore-based VDES users. Following the practice of traditional AIS shore-based services, the shore-based user interface utilizes "NMEA" sentences in the IEC 62320-1 format to transmit AIS messages. This interface approach is based on low-level messages, requiring developers to handle details such as bit encoding and message parsing, which increases development complexity and the risk of errors.</w:t>
      </w:r>
    </w:p>
    <w:p w14:paraId="107844F5" w14:textId="77777777" w:rsidR="003E0BB3" w:rsidRDefault="00E4164E">
      <w:pPr>
        <w:pStyle w:val="BodyText"/>
        <w:rPr>
          <w:rFonts w:ascii="Calibri" w:hAnsi="Calibri"/>
          <w:lang w:eastAsia="zh-CN"/>
        </w:rPr>
      </w:pPr>
      <w:r>
        <w:rPr>
          <w:rFonts w:ascii="Calibri" w:hAnsi="Calibri"/>
          <w:lang w:eastAsia="zh-CN"/>
        </w:rPr>
        <w:t>While IALA Recommendation R0124 defines an XML-based VDES data interface named MDEF for information exchange between shore infrastructure and users, it only outlines the main elements without providing a complete data model or exchange specification. Consequently, this interface is difficult to implement for practical data exchange applications.</w:t>
      </w:r>
    </w:p>
    <w:p w14:paraId="107844F6" w14:textId="77777777" w:rsidR="003E0BB3" w:rsidRDefault="00E4164E">
      <w:pPr>
        <w:pStyle w:val="BodyText"/>
        <w:rPr>
          <w:rFonts w:ascii="Calibri" w:hAnsi="Calibri"/>
          <w:lang w:eastAsia="zh-CN"/>
        </w:rPr>
      </w:pPr>
      <w:r>
        <w:rPr>
          <w:rFonts w:ascii="Calibri" w:hAnsi="Calibri"/>
          <w:lang w:eastAsia="zh-CN"/>
        </w:rPr>
        <w:t>VDES involves more complex information exchange patterns than AIS, and its full range of shore services cannot be realized using the sentence-based structure of IEC 63514. Unlike AIS, which primarily focuses on broadcasting vessels' dynamic and static information to users, VDES necessitates extensive interaction. It may also need to support interoperability between national authorities, with satellite systems, and potentially with the MCP in the future. A unified standard is essential for these interactions to support the broad integration of VDES applications.</w:t>
      </w:r>
    </w:p>
    <w:bookmarkEnd w:id="1"/>
    <w:p w14:paraId="107844F7" w14:textId="77777777" w:rsidR="003E0BB3" w:rsidRDefault="00E4164E">
      <w:pPr>
        <w:pStyle w:val="Heading1"/>
      </w:pPr>
      <w:r>
        <w:t>Discussion</w:t>
      </w:r>
    </w:p>
    <w:p w14:paraId="107844F8" w14:textId="77777777" w:rsidR="003E0BB3" w:rsidRDefault="00E4164E">
      <w:pPr>
        <w:pStyle w:val="Heading2"/>
      </w:pPr>
      <w:r>
        <w:t>Issues with the Current Interface Approach</w:t>
      </w:r>
    </w:p>
    <w:p w14:paraId="107844F9" w14:textId="77777777" w:rsidR="003E0BB3" w:rsidRDefault="00E4164E">
      <w:pPr>
        <w:pStyle w:val="BodyText"/>
        <w:rPr>
          <w:rFonts w:ascii="Calibri" w:hAnsi="Calibri"/>
          <w:lang w:val="en-US" w:eastAsia="zh-CN"/>
        </w:rPr>
      </w:pPr>
      <w:bookmarkStart w:id="2" w:name="_Hlk59199741"/>
      <w:r>
        <w:rPr>
          <w:rFonts w:ascii="Calibri" w:hAnsi="Calibri"/>
          <w:lang w:eastAsia="zh-CN"/>
        </w:rPr>
        <w:t>Current AIS interfaces publish data through standardized message sentences (e.g., vessel reports, navigation-related information). This NMEA-based interface requires developers to have an in-depth understanding of the AIS message structure for data parsing and encapsulation, making development difficult and error-prone. As VDES functionalities extend beyond those of traditional AIS, continuing to use a low-level sentence-based interface would further increase implementation complexity and limit the ability to interact with new data types.</w:t>
      </w:r>
    </w:p>
    <w:p w14:paraId="107844FA" w14:textId="77777777" w:rsidR="003E0BB3" w:rsidRDefault="00E4164E">
      <w:pPr>
        <w:pStyle w:val="Heading2"/>
      </w:pPr>
      <w:r>
        <w:t>Advantages of Adopting the S-100 Framework</w:t>
      </w:r>
    </w:p>
    <w:p w14:paraId="107844FB" w14:textId="77777777" w:rsidR="003E0BB3" w:rsidRDefault="00E4164E">
      <w:pPr>
        <w:pStyle w:val="Heading3"/>
      </w:pPr>
      <w:r>
        <w:t>Improved Compatibility</w:t>
      </w:r>
    </w:p>
    <w:p w14:paraId="107844FC" w14:textId="77777777" w:rsidR="003E0BB3" w:rsidRDefault="00E4164E">
      <w:pPr>
        <w:pStyle w:val="BodyText"/>
        <w:rPr>
          <w:rFonts w:ascii="Calibri" w:hAnsi="Calibri"/>
          <w:lang w:val="en-US" w:eastAsia="zh-CN"/>
        </w:rPr>
      </w:pPr>
      <w:r>
        <w:rPr>
          <w:rFonts w:ascii="Calibri" w:hAnsi="Calibri"/>
          <w:lang w:val="en-US" w:eastAsia="zh-CN"/>
        </w:rPr>
        <w:t>Data modeled under the S-100 framework possesses a standard structure and semantic identity. This allows national authorities and users to directly integrate it into their respective S-100 compatible systems, achieving consistency and interoperability with other maritime services. A common S-100 service interface can be used to exchange various types of information, not limited to a specific purpose, thereby enhancing technical interoperability.</w:t>
      </w:r>
    </w:p>
    <w:p w14:paraId="107844FD" w14:textId="77777777" w:rsidR="003E0BB3" w:rsidRDefault="00E4164E">
      <w:pPr>
        <w:pStyle w:val="Heading3"/>
      </w:pPr>
      <w:r>
        <w:t>Simplified Integration</w:t>
      </w:r>
    </w:p>
    <w:p w14:paraId="107844FE" w14:textId="77777777" w:rsidR="003E0BB3" w:rsidRDefault="00E4164E">
      <w:pPr>
        <w:pStyle w:val="BodyText"/>
        <w:rPr>
          <w:rFonts w:ascii="Calibri" w:hAnsi="Calibri"/>
          <w:lang w:val="en-US" w:eastAsia="zh-CN"/>
        </w:rPr>
      </w:pPr>
      <w:r>
        <w:rPr>
          <w:rFonts w:ascii="Calibri" w:hAnsi="Calibri"/>
          <w:lang w:val="en-US" w:eastAsia="zh-CN"/>
        </w:rPr>
        <w:t>By leveraging the online service mechanisms defined in S-100, interfaces can be provided using mature web service technologies like REST/SOAP. Developers would no longer need to handle link-layer details; they could simply request or subscribe to the required datasets via a standard API. This service-oriented architecture lowers the barrier for integration and reduces the development burden associated with parsing low-level messages.</w:t>
      </w:r>
    </w:p>
    <w:p w14:paraId="107844FF" w14:textId="77777777" w:rsidR="003E0BB3" w:rsidRDefault="00E4164E">
      <w:pPr>
        <w:pStyle w:val="Heading3"/>
      </w:pPr>
      <w:r>
        <w:lastRenderedPageBreak/>
        <w:t>Abstraction of Complex Low-Level Operations</w:t>
      </w:r>
    </w:p>
    <w:p w14:paraId="10784500" w14:textId="77777777" w:rsidR="003E0BB3" w:rsidRDefault="00E4164E">
      <w:pPr>
        <w:pStyle w:val="BodyText"/>
        <w:rPr>
          <w:rFonts w:ascii="Calibri" w:hAnsi="Calibri"/>
          <w:lang w:val="en-US" w:eastAsia="zh-CN"/>
        </w:rPr>
      </w:pPr>
      <w:r>
        <w:rPr>
          <w:rFonts w:ascii="Calibri" w:hAnsi="Calibri"/>
          <w:lang w:val="en-US" w:eastAsia="zh-CN"/>
        </w:rPr>
        <w:t>The shore system would act as a service provider, delivering processed, high-level information to clients. For example, in a vessel reporting application, the shore station could directly provide a standardized S-100 object (e.g., a "Vessel Position Report" feature). The client would receive object data with geographic coordinates, timestamps, and attributes, without needing to know the source message type or the field mappings used to generate it.</w:t>
      </w:r>
    </w:p>
    <w:p w14:paraId="10784501" w14:textId="77777777" w:rsidR="003E0BB3" w:rsidRDefault="00E4164E">
      <w:pPr>
        <w:pStyle w:val="BodyText"/>
        <w:rPr>
          <w:rFonts w:ascii="Calibri" w:hAnsi="Calibri"/>
          <w:lang w:val="en-US" w:eastAsia="zh-CN"/>
        </w:rPr>
      </w:pPr>
      <w:r>
        <w:rPr>
          <w:rFonts w:ascii="Calibri" w:hAnsi="Calibri"/>
          <w:lang w:val="en-US" w:eastAsia="zh-CN"/>
        </w:rPr>
        <w:t>Similarly, for broadcast services, the interface would acquire the necessary data elements and send NMEA commands to the base station via the shore VDES system, abstracting away low-level control processes such as base station selection and link ID management. This encapsulation strategy conceals the underlying details of VDES communication, presenting a clean and consistent data view to the end-user, which not only simplifies integration but also enhances security.</w:t>
      </w:r>
    </w:p>
    <w:p w14:paraId="10784502" w14:textId="77777777" w:rsidR="003E0BB3" w:rsidRDefault="00E4164E">
      <w:pPr>
        <w:pStyle w:val="Heading3"/>
      </w:pPr>
      <w:r>
        <w:t>Reuse of Existing Standards and Tools</w:t>
      </w:r>
    </w:p>
    <w:p w14:paraId="10784503" w14:textId="77777777" w:rsidR="003E0BB3" w:rsidRDefault="00E4164E">
      <w:pPr>
        <w:pStyle w:val="BodyText"/>
        <w:rPr>
          <w:rFonts w:ascii="Calibri" w:hAnsi="Calibri"/>
          <w:lang w:val="en-US" w:eastAsia="zh-CN"/>
        </w:rPr>
      </w:pPr>
      <w:r>
        <w:rPr>
          <w:rFonts w:ascii="Calibri" w:hAnsi="Calibri"/>
          <w:lang w:val="en-US" w:eastAsia="zh-CN"/>
        </w:rPr>
        <w:t xml:space="preserve">The S-100 system already provides a suite of specifications and tools for functions like metadata encoding, data encryption and signing, and exchange set packaging. Adopting an S-100 interface would allow the shore VDES system to reuse these existing standard assets—for instance, using the S-100 Exchange Set standard to package VDES data or employing existing S-100 database schemas for information storage. This would reduce the effort required to design a new interface from </w:t>
      </w:r>
      <w:bookmarkStart w:id="3" w:name="OLE_LINK1"/>
      <w:r>
        <w:rPr>
          <w:rFonts w:ascii="Calibri" w:hAnsi="Calibri"/>
          <w:lang w:val="en-US" w:eastAsia="zh-CN"/>
        </w:rPr>
        <w:t>scratch</w:t>
      </w:r>
      <w:bookmarkEnd w:id="3"/>
      <w:r>
        <w:rPr>
          <w:rFonts w:ascii="Calibri" w:hAnsi="Calibri"/>
          <w:lang w:val="en-US" w:eastAsia="zh-CN"/>
        </w:rPr>
        <w:t>.</w:t>
      </w:r>
    </w:p>
    <w:bookmarkEnd w:id="2"/>
    <w:p w14:paraId="10784504" w14:textId="77777777" w:rsidR="003E0BB3" w:rsidRDefault="00E4164E">
      <w:pPr>
        <w:pStyle w:val="Heading1"/>
      </w:pPr>
      <w:r>
        <w:t>References</w:t>
      </w:r>
    </w:p>
    <w:p w14:paraId="10784505" w14:textId="77777777" w:rsidR="003E0BB3" w:rsidRDefault="00E4164E">
      <w:pPr>
        <w:pStyle w:val="Reference"/>
      </w:pPr>
      <w:r>
        <w:t>ITU-R M.2092-1, Technical characteristics for a VHF data exchange system in the VHF maritime mobile band, February 2022</w:t>
      </w:r>
    </w:p>
    <w:p w14:paraId="10784506" w14:textId="77777777" w:rsidR="003E0BB3" w:rsidRDefault="00E4164E">
      <w:pPr>
        <w:pStyle w:val="Reference"/>
      </w:pPr>
      <w:r>
        <w:t>IALA G1117, VHF Data Exchange System (VDES) Overview, December 2022</w:t>
      </w:r>
    </w:p>
    <w:p w14:paraId="10784507" w14:textId="77777777" w:rsidR="003E0BB3" w:rsidRDefault="00E4164E">
      <w:pPr>
        <w:pStyle w:val="Reference"/>
      </w:pPr>
      <w:r>
        <w:t>IALA R1007, The VHF Data Exchange System (VDES) for Shore Infrastructure, June 2017</w:t>
      </w:r>
    </w:p>
    <w:p w14:paraId="10784508" w14:textId="77777777" w:rsidR="003E0BB3" w:rsidRDefault="00E4164E">
      <w:pPr>
        <w:pStyle w:val="Reference"/>
      </w:pPr>
      <w:r>
        <w:t>IALA R0124 Ed2.2, The AIS Service, December 2012</w:t>
      </w:r>
    </w:p>
    <w:p w14:paraId="10784509" w14:textId="77777777" w:rsidR="003E0BB3" w:rsidRDefault="00E4164E">
      <w:pPr>
        <w:pStyle w:val="Reference"/>
      </w:pPr>
      <w:r>
        <w:t>IHO S-100 Universal Hydrographic Data Model, Edition 5.</w:t>
      </w:r>
      <w:r>
        <w:rPr>
          <w:rFonts w:eastAsia="SimSun" w:hint="eastAsia"/>
          <w:lang w:eastAsia="zh-CN"/>
        </w:rPr>
        <w:t>2</w:t>
      </w:r>
      <w:r>
        <w:t>.0, 202</w:t>
      </w:r>
      <w:r>
        <w:rPr>
          <w:rFonts w:eastAsia="SimSun" w:hint="eastAsia"/>
          <w:lang w:eastAsia="zh-CN"/>
        </w:rPr>
        <w:t>4</w:t>
      </w:r>
    </w:p>
    <w:p w14:paraId="1078450A" w14:textId="77777777" w:rsidR="003E0BB3" w:rsidRDefault="00E4164E">
      <w:pPr>
        <w:pStyle w:val="Reference"/>
        <w:rPr>
          <w:lang w:eastAsia="de-DE"/>
        </w:rPr>
      </w:pPr>
      <w:r>
        <w:t>IALA S-201 Aids to Navigation Information Product Specification, Ed.1.9.0, 2025</w:t>
      </w:r>
      <w:r>
        <w:rPr>
          <w:lang w:eastAsia="de-DE"/>
        </w:rPr>
        <w:t>.</w:t>
      </w:r>
    </w:p>
    <w:p w14:paraId="1078450B" w14:textId="77777777" w:rsidR="003E0BB3" w:rsidRDefault="00E4164E">
      <w:pPr>
        <w:pStyle w:val="Heading1"/>
      </w:pPr>
      <w:r>
        <w:t>Action requested of the Committee</w:t>
      </w:r>
    </w:p>
    <w:p w14:paraId="1078450C" w14:textId="77777777" w:rsidR="003E0BB3" w:rsidRDefault="00E4164E">
      <w:pPr>
        <w:pStyle w:val="BodyText"/>
        <w:rPr>
          <w:rFonts w:ascii="Calibri" w:hAnsi="Calibri"/>
        </w:rPr>
      </w:pPr>
      <w:r>
        <w:rPr>
          <w:rFonts w:ascii="Calibri" w:hAnsi="Calibri"/>
        </w:rPr>
        <w:t>The Committee is requested to:</w:t>
      </w:r>
    </w:p>
    <w:p w14:paraId="1078450D" w14:textId="77777777" w:rsidR="003E0BB3" w:rsidRDefault="00E4164E">
      <w:pPr>
        <w:pStyle w:val="List1"/>
        <w:numPr>
          <w:ilvl w:val="0"/>
          <w:numId w:val="0"/>
        </w:numPr>
        <w:rPr>
          <w:rFonts w:eastAsia="SimSun"/>
          <w:lang w:eastAsia="zh-CN"/>
        </w:rPr>
      </w:pPr>
      <w:r>
        <w:t xml:space="preserve">Consider the recommendation to add a data service interface specification based on S-100 to </w:t>
      </w:r>
      <w:r>
        <w:rPr>
          <w:rFonts w:eastAsia="SimSun" w:hint="eastAsia"/>
          <w:lang w:eastAsia="zh-CN"/>
        </w:rPr>
        <w:t xml:space="preserve">the </w:t>
      </w:r>
      <w:r>
        <w:rPr>
          <w:rFonts w:ascii="Calibri" w:eastAsia="SimSun" w:hAnsi="Calibri"/>
          <w:lang w:eastAsia="zh-CN"/>
        </w:rPr>
        <w:t xml:space="preserve">new guideline for shore </w:t>
      </w:r>
      <w:r>
        <w:rPr>
          <w:rFonts w:ascii="Calibri" w:eastAsia="SimSun" w:hAnsi="Calibri" w:hint="eastAsia"/>
          <w:lang w:eastAsia="zh-CN"/>
        </w:rPr>
        <w:t>VDES</w:t>
      </w:r>
      <w:r>
        <w:rPr>
          <w:rFonts w:ascii="Calibri" w:eastAsia="SimSun" w:hAnsi="Calibri"/>
          <w:lang w:eastAsia="zh-CN"/>
        </w:rPr>
        <w:t xml:space="preserve"> infrastructure</w:t>
      </w:r>
      <w:r>
        <w:t xml:space="preserve">. </w:t>
      </w:r>
    </w:p>
    <w:p w14:paraId="1078450E" w14:textId="77777777" w:rsidR="003E0BB3" w:rsidRDefault="003E0BB3">
      <w:pPr>
        <w:pStyle w:val="List1"/>
        <w:numPr>
          <w:ilvl w:val="0"/>
          <w:numId w:val="0"/>
        </w:numPr>
        <w:ind w:left="567" w:hanging="567"/>
        <w:rPr>
          <w:rFonts w:ascii="Calibri" w:eastAsia="SimSun" w:hAnsi="Calibri"/>
          <w:lang w:eastAsia="zh-CN"/>
        </w:rPr>
      </w:pPr>
    </w:p>
    <w:p w14:paraId="1078450F" w14:textId="77777777" w:rsidR="003E0BB3" w:rsidRDefault="003E0BB3">
      <w:pPr>
        <w:pStyle w:val="Annex"/>
        <w:sectPr w:rsidR="003E0BB3">
          <w:headerReference w:type="default" r:id="rId10"/>
          <w:footerReference w:type="default" r:id="rId11"/>
          <w:headerReference w:type="first" r:id="rId12"/>
          <w:footerReference w:type="first" r:id="rId13"/>
          <w:pgSz w:w="11906" w:h="16838"/>
          <w:pgMar w:top="1733" w:right="794" w:bottom="567" w:left="907" w:header="564" w:footer="611" w:gutter="0"/>
          <w:cols w:space="708"/>
          <w:titlePg/>
          <w:docGrid w:linePitch="360"/>
        </w:sectPr>
      </w:pPr>
    </w:p>
    <w:p w14:paraId="10784510" w14:textId="77777777" w:rsidR="003E0BB3" w:rsidRDefault="00E4164E">
      <w:pPr>
        <w:pStyle w:val="Annex"/>
      </w:pPr>
      <w:r>
        <w:lastRenderedPageBreak/>
        <w:t xml:space="preserve">UTF-8 Information </w:t>
      </w:r>
      <w:r>
        <w:rPr>
          <w:rFonts w:eastAsia="SimSun" w:hint="eastAsia"/>
          <w:lang w:eastAsia="zh-CN"/>
        </w:rPr>
        <w:t>Transmission</w:t>
      </w:r>
    </w:p>
    <w:p w14:paraId="10784511" w14:textId="77777777" w:rsidR="003E0BB3" w:rsidRDefault="00E4164E">
      <w:pPr>
        <w:pStyle w:val="AnnexHead2"/>
        <w:rPr>
          <w:lang w:eastAsia="zh-CN"/>
        </w:rPr>
      </w:pPr>
      <w:r>
        <w:t>Application Model</w:t>
      </w:r>
    </w:p>
    <w:p w14:paraId="10784512" w14:textId="77777777" w:rsidR="003E0BB3" w:rsidRDefault="00E4164E">
      <w:pPr>
        <w:pStyle w:val="BodyText"/>
        <w:rPr>
          <w:rFonts w:ascii="Calibri" w:hAnsi="Calibri"/>
          <w:lang w:val="en-US" w:eastAsia="zh-CN"/>
        </w:rPr>
      </w:pPr>
      <w:r>
        <w:rPr>
          <w:rFonts w:ascii="Calibri" w:hAnsi="Calibri" w:hint="eastAsia"/>
          <w:lang w:val="en-US" w:eastAsia="zh-CN"/>
        </w:rPr>
        <w:t>T</w:t>
      </w:r>
      <w:r>
        <w:rPr>
          <w:rFonts w:ascii="Calibri" w:hAnsi="Calibri"/>
          <w:lang w:val="en-US" w:eastAsia="zh-CN"/>
        </w:rPr>
        <w:t>he application model for this service interface adopts a feature-based approach. The core of this approach is the definition of a single feature type: VDES_</w:t>
      </w:r>
      <w:r>
        <w:rPr>
          <w:rFonts w:ascii="Calibri" w:hAnsi="Calibri" w:hint="eastAsia"/>
          <w:lang w:val="en-US" w:eastAsia="zh-CN"/>
        </w:rPr>
        <w:t>Transmission</w:t>
      </w:r>
      <w:r>
        <w:rPr>
          <w:rFonts w:ascii="Calibri" w:hAnsi="Calibri"/>
          <w:lang w:val="en-US" w:eastAsia="zh-CN"/>
        </w:rPr>
        <w:t xml:space="preserve">Request. This feature encapsulates all parameters required to initiate a VDES data broadcast, including requestor information, </w:t>
      </w:r>
      <w:r>
        <w:rPr>
          <w:rFonts w:ascii="Calibri" w:hAnsi="Calibri" w:hint="eastAsia"/>
          <w:lang w:val="en-US" w:eastAsia="zh-CN"/>
        </w:rPr>
        <w:t>transmission</w:t>
      </w:r>
      <w:r>
        <w:rPr>
          <w:rFonts w:ascii="Calibri" w:hAnsi="Calibri"/>
          <w:lang w:val="en-US" w:eastAsia="zh-CN"/>
        </w:rPr>
        <w:t xml:space="preserve"> parameters, and the message payload.</w:t>
      </w:r>
    </w:p>
    <w:p w14:paraId="10784513" w14:textId="77777777" w:rsidR="003E0BB3" w:rsidRDefault="00E4164E">
      <w:pPr>
        <w:pStyle w:val="BodyText"/>
        <w:rPr>
          <w:rFonts w:ascii="Calibri" w:hAnsi="Calibri"/>
          <w:lang w:val="en-US" w:eastAsia="zh-CN"/>
        </w:rPr>
      </w:pPr>
      <w:r>
        <w:rPr>
          <w:rFonts w:ascii="Calibri" w:hAnsi="Calibri"/>
          <w:lang w:val="en-US" w:eastAsia="zh-CN"/>
        </w:rPr>
        <w:t>The VDES_</w:t>
      </w:r>
      <w:r>
        <w:rPr>
          <w:rFonts w:ascii="Calibri" w:hAnsi="Calibri" w:hint="eastAsia"/>
          <w:lang w:val="en-US" w:eastAsia="zh-CN"/>
        </w:rPr>
        <w:t>Transmission</w:t>
      </w:r>
      <w:r>
        <w:rPr>
          <w:rFonts w:ascii="Calibri" w:hAnsi="Calibri"/>
          <w:lang w:val="en-US" w:eastAsia="zh-CN"/>
        </w:rPr>
        <w:t>Request feature consists of three core complex attributes:</w:t>
      </w:r>
    </w:p>
    <w:p w14:paraId="10784514" w14:textId="77777777" w:rsidR="003E0BB3" w:rsidRDefault="00E4164E">
      <w:pPr>
        <w:pStyle w:val="Bullet1"/>
        <w:suppressAutoHyphens/>
        <w:ind w:left="0" w:firstLine="425"/>
        <w:rPr>
          <w:rFonts w:eastAsia="SimSun"/>
          <w:lang w:val="en-US" w:eastAsia="zh-CN"/>
        </w:rPr>
      </w:pPr>
      <w:r>
        <w:rPr>
          <w:rFonts w:eastAsia="SimSun"/>
          <w:lang w:val="en-US" w:eastAsia="zh-CN"/>
        </w:rPr>
        <w:t>requestorInformation: Used to identify and verify the originator of the request.</w:t>
      </w:r>
    </w:p>
    <w:p w14:paraId="10784515" w14:textId="77777777" w:rsidR="003E0BB3" w:rsidRDefault="00E4164E">
      <w:pPr>
        <w:pStyle w:val="Bullet1"/>
        <w:suppressAutoHyphens/>
        <w:ind w:leftChars="236" w:left="720" w:hanging="295"/>
        <w:rPr>
          <w:rFonts w:eastAsia="SimSun"/>
          <w:lang w:val="en-US" w:eastAsia="zh-CN"/>
        </w:rPr>
      </w:pPr>
      <w:r>
        <w:rPr>
          <w:rFonts w:eastAsia="SimSun" w:hint="eastAsia"/>
          <w:lang w:val="en-US" w:eastAsia="zh-CN"/>
        </w:rPr>
        <w:t>Transmission</w:t>
      </w:r>
      <w:r>
        <w:rPr>
          <w:rFonts w:eastAsia="SimSun"/>
          <w:lang w:val="en-US" w:eastAsia="zh-CN"/>
        </w:rPr>
        <w:t xml:space="preserve">Parameters: Defines the target (addressed or broadcast) and scope (a specific list of MMSIs or a geographical area) of the </w:t>
      </w:r>
      <w:r>
        <w:rPr>
          <w:rFonts w:eastAsia="SimSun" w:hint="eastAsia"/>
          <w:lang w:val="en-US" w:eastAsia="zh-CN"/>
        </w:rPr>
        <w:t>transmission</w:t>
      </w:r>
      <w:r>
        <w:rPr>
          <w:rFonts w:eastAsia="SimSun"/>
          <w:lang w:val="en-US" w:eastAsia="zh-CN"/>
        </w:rPr>
        <w:t>.</w:t>
      </w:r>
    </w:p>
    <w:p w14:paraId="10784516" w14:textId="77777777" w:rsidR="003E0BB3" w:rsidRDefault="00E4164E">
      <w:pPr>
        <w:pStyle w:val="Bullet1"/>
        <w:suppressAutoHyphens/>
        <w:ind w:left="0" w:firstLine="425"/>
        <w:rPr>
          <w:rFonts w:eastAsia="SimSun"/>
          <w:lang w:val="en-US" w:eastAsia="zh-CN"/>
        </w:rPr>
      </w:pPr>
      <w:r>
        <w:rPr>
          <w:rFonts w:eastAsia="SimSun"/>
          <w:lang w:val="en-US" w:eastAsia="zh-CN"/>
        </w:rPr>
        <w:t xml:space="preserve">messagePayload: Contains the specific data content to be </w:t>
      </w:r>
      <w:r>
        <w:rPr>
          <w:rFonts w:eastAsia="SimSun" w:hint="eastAsia"/>
          <w:lang w:val="en-US" w:eastAsia="zh-CN"/>
        </w:rPr>
        <w:t>transmission</w:t>
      </w:r>
      <w:r>
        <w:rPr>
          <w:rFonts w:eastAsia="SimSun"/>
          <w:lang w:val="en-US" w:eastAsia="zh-CN"/>
        </w:rPr>
        <w:t>.</w:t>
      </w:r>
    </w:p>
    <w:p w14:paraId="10784517" w14:textId="77777777" w:rsidR="003E0BB3" w:rsidRDefault="00E4164E">
      <w:pPr>
        <w:pStyle w:val="BodyText"/>
        <w:rPr>
          <w:rFonts w:ascii="Calibri" w:hAnsi="Calibri"/>
          <w:lang w:val="en-US" w:eastAsia="zh-CN"/>
        </w:rPr>
      </w:pPr>
      <w:r>
        <w:rPr>
          <w:rFonts w:ascii="Calibri" w:hAnsi="Calibri"/>
          <w:lang w:val="en-US" w:eastAsia="zh-CN"/>
        </w:rPr>
        <w:t xml:space="preserve">This structured model organizes a complete </w:t>
      </w:r>
      <w:r>
        <w:rPr>
          <w:rFonts w:ascii="Calibri" w:hAnsi="Calibri" w:hint="eastAsia"/>
          <w:lang w:val="en-US" w:eastAsia="zh-CN"/>
        </w:rPr>
        <w:t>transmission</w:t>
      </w:r>
      <w:r>
        <w:rPr>
          <w:rFonts w:ascii="Calibri" w:hAnsi="Calibri"/>
          <w:lang w:val="en-US" w:eastAsia="zh-CN"/>
        </w:rPr>
        <w:t xml:space="preserve"> request into a single, logically cohesive data unit that conforms to S-100 principles.</w:t>
      </w:r>
    </w:p>
    <w:p w14:paraId="10784518" w14:textId="77777777" w:rsidR="003E0BB3" w:rsidRDefault="00E4164E">
      <w:pPr>
        <w:pStyle w:val="AnnexHead2"/>
      </w:pPr>
      <w:r>
        <w:t>Feature Catalogue</w:t>
      </w:r>
    </w:p>
    <w:p w14:paraId="10784519" w14:textId="77777777" w:rsidR="003E0BB3" w:rsidRDefault="00E4164E">
      <w:pPr>
        <w:pStyle w:val="BodyText"/>
        <w:rPr>
          <w:rFonts w:ascii="Calibri" w:hAnsi="Calibri"/>
          <w:lang w:val="en-US" w:eastAsia="zh-CN"/>
        </w:rPr>
      </w:pPr>
      <w:r>
        <w:rPr>
          <w:rFonts w:ascii="Calibri" w:hAnsi="Calibri"/>
          <w:lang w:val="en-US" w:eastAsia="zh-CN"/>
        </w:rPr>
        <w:t>This section defines in detail the VDES_</w:t>
      </w:r>
      <w:r>
        <w:rPr>
          <w:rFonts w:ascii="Calibri" w:hAnsi="Calibri" w:hint="eastAsia"/>
          <w:lang w:val="en-US" w:eastAsia="zh-CN"/>
        </w:rPr>
        <w:t>Transmission</w:t>
      </w:r>
      <w:r>
        <w:rPr>
          <w:rFonts w:ascii="Calibri" w:hAnsi="Calibri"/>
          <w:lang w:val="en-US" w:eastAsia="zh-CN"/>
        </w:rPr>
        <w:t>Request feature and its associated complex attributes and enumeration values.</w:t>
      </w:r>
    </w:p>
    <w:p w14:paraId="1078451A" w14:textId="77777777" w:rsidR="003E0BB3" w:rsidRDefault="00E4164E">
      <w:pPr>
        <w:pStyle w:val="Tablecaption"/>
      </w:pPr>
      <w:r>
        <w:t>VDES_</w:t>
      </w:r>
      <w:r>
        <w:rPr>
          <w:rFonts w:hint="eastAsia"/>
        </w:rPr>
        <w:t>Transmission</w:t>
      </w:r>
      <w:r>
        <w:t>Request Feature Definition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3E0BB3" w14:paraId="1078451D" w14:textId="77777777">
        <w:trPr>
          <w:trHeight w:val="125"/>
          <w:jc w:val="center"/>
        </w:trPr>
        <w:tc>
          <w:tcPr>
            <w:tcW w:w="2500" w:type="pct"/>
          </w:tcPr>
          <w:p w14:paraId="1078451B" w14:textId="77777777" w:rsidR="003E0BB3" w:rsidRDefault="00E4164E">
            <w:pPr>
              <w:pStyle w:val="Tableheading"/>
              <w:suppressAutoHyphens/>
            </w:pPr>
            <w:r>
              <w:t xml:space="preserve">Feature Name </w:t>
            </w:r>
          </w:p>
        </w:tc>
        <w:tc>
          <w:tcPr>
            <w:tcW w:w="2500" w:type="pct"/>
          </w:tcPr>
          <w:p w14:paraId="1078451C" w14:textId="77777777" w:rsidR="003E0BB3" w:rsidRDefault="00E4164E">
            <w:pPr>
              <w:pStyle w:val="Tabletext"/>
              <w:suppressAutoHyphens/>
              <w:rPr>
                <w:lang w:val="fr-FR"/>
              </w:rPr>
            </w:pPr>
            <w:r>
              <w:rPr>
                <w:lang w:val="fr-FR"/>
              </w:rPr>
              <w:t>VDES_</w:t>
            </w:r>
            <w:r>
              <w:rPr>
                <w:rFonts w:eastAsia="SimSun" w:hint="eastAsia"/>
                <w:lang w:val="fr-FR" w:eastAsia="zh-CN"/>
              </w:rPr>
              <w:t>Transmission</w:t>
            </w:r>
            <w:r>
              <w:rPr>
                <w:lang w:val="fr-FR"/>
              </w:rPr>
              <w:t xml:space="preserve">Request </w:t>
            </w:r>
          </w:p>
        </w:tc>
      </w:tr>
      <w:tr w:rsidR="003E0BB3" w14:paraId="10784520" w14:textId="77777777">
        <w:trPr>
          <w:trHeight w:val="395"/>
          <w:jc w:val="center"/>
        </w:trPr>
        <w:tc>
          <w:tcPr>
            <w:tcW w:w="2500" w:type="pct"/>
            <w:vAlign w:val="center"/>
          </w:tcPr>
          <w:p w14:paraId="1078451E" w14:textId="77777777" w:rsidR="003E0BB3" w:rsidRDefault="00E4164E">
            <w:pPr>
              <w:pStyle w:val="Tableheading"/>
              <w:suppressAutoHyphens/>
            </w:pPr>
            <w:r>
              <w:t>Definition</w:t>
            </w:r>
          </w:p>
        </w:tc>
        <w:tc>
          <w:tcPr>
            <w:tcW w:w="2500" w:type="pct"/>
          </w:tcPr>
          <w:p w14:paraId="1078451F" w14:textId="77777777" w:rsidR="003E0BB3" w:rsidRDefault="00E4164E">
            <w:pPr>
              <w:pStyle w:val="Tabletext"/>
              <w:suppressAutoHyphens/>
              <w:rPr>
                <w:lang w:val="fr-FR"/>
              </w:rPr>
            </w:pPr>
            <w:r>
              <w:rPr>
                <w:lang w:val="fr-FR"/>
              </w:rPr>
              <w:t xml:space="preserve">An element encapsulating all information required to submit a data </w:t>
            </w:r>
            <w:r>
              <w:rPr>
                <w:rFonts w:eastAsia="SimSun" w:hint="eastAsia"/>
                <w:lang w:val="en-US" w:eastAsia="zh-CN"/>
              </w:rPr>
              <w:t>t</w:t>
            </w:r>
            <w:r>
              <w:rPr>
                <w:rFonts w:eastAsia="SimSun" w:hint="eastAsia"/>
                <w:lang w:val="fr-FR" w:eastAsia="zh-CN"/>
              </w:rPr>
              <w:t>ransmission</w:t>
            </w:r>
            <w:r>
              <w:rPr>
                <w:lang w:val="fr-FR"/>
              </w:rPr>
              <w:t xml:space="preserve"> request to the VDES shore-based system. </w:t>
            </w:r>
          </w:p>
        </w:tc>
      </w:tr>
      <w:tr w:rsidR="003E0BB3" w14:paraId="10784523" w14:textId="77777777">
        <w:trPr>
          <w:trHeight w:val="125"/>
          <w:jc w:val="center"/>
        </w:trPr>
        <w:tc>
          <w:tcPr>
            <w:tcW w:w="2500" w:type="pct"/>
          </w:tcPr>
          <w:p w14:paraId="10784521" w14:textId="77777777" w:rsidR="003E0BB3" w:rsidRDefault="00E4164E">
            <w:pPr>
              <w:pStyle w:val="Tableheading"/>
              <w:suppressAutoHyphens/>
            </w:pPr>
            <w:r>
              <w:t xml:space="preserve">Feature Use Type </w:t>
            </w:r>
          </w:p>
        </w:tc>
        <w:tc>
          <w:tcPr>
            <w:tcW w:w="2500" w:type="pct"/>
          </w:tcPr>
          <w:p w14:paraId="10784522" w14:textId="77777777" w:rsidR="003E0BB3" w:rsidRDefault="00E4164E">
            <w:pPr>
              <w:pStyle w:val="Tabletext"/>
              <w:suppressAutoHyphens/>
              <w:rPr>
                <w:lang w:val="fr-FR"/>
              </w:rPr>
            </w:pPr>
            <w:r>
              <w:rPr>
                <w:lang w:val="fr-FR"/>
              </w:rPr>
              <w:t xml:space="preserve">Geographic </w:t>
            </w:r>
          </w:p>
        </w:tc>
      </w:tr>
      <w:tr w:rsidR="003E0BB3" w14:paraId="10784526" w14:textId="77777777">
        <w:trPr>
          <w:trHeight w:val="125"/>
          <w:jc w:val="center"/>
        </w:trPr>
        <w:tc>
          <w:tcPr>
            <w:tcW w:w="2500" w:type="pct"/>
          </w:tcPr>
          <w:p w14:paraId="10784524" w14:textId="77777777" w:rsidR="003E0BB3" w:rsidRDefault="00E4164E">
            <w:pPr>
              <w:pStyle w:val="Tableheading"/>
              <w:suppressAutoHyphens/>
            </w:pPr>
            <w:r>
              <w:t xml:space="preserve">Geometric Primitive </w:t>
            </w:r>
          </w:p>
        </w:tc>
        <w:tc>
          <w:tcPr>
            <w:tcW w:w="2500" w:type="pct"/>
          </w:tcPr>
          <w:p w14:paraId="10784525" w14:textId="77777777" w:rsidR="003E0BB3" w:rsidRDefault="00E4164E">
            <w:pPr>
              <w:pStyle w:val="Tabletext"/>
              <w:suppressAutoHyphens/>
              <w:rPr>
                <w:lang w:val="fr-FR"/>
              </w:rPr>
            </w:pPr>
            <w:r>
              <w:rPr>
                <w:lang w:val="fr-FR"/>
              </w:rPr>
              <w:t xml:space="preserve">No Geometry (noGeometry) </w:t>
            </w:r>
          </w:p>
        </w:tc>
      </w:tr>
      <w:tr w:rsidR="003E0BB3" w14:paraId="10784528" w14:textId="77777777">
        <w:trPr>
          <w:trHeight w:val="125"/>
          <w:jc w:val="center"/>
        </w:trPr>
        <w:tc>
          <w:tcPr>
            <w:tcW w:w="5000" w:type="pct"/>
            <w:gridSpan w:val="2"/>
          </w:tcPr>
          <w:p w14:paraId="10784527" w14:textId="77777777" w:rsidR="003E0BB3" w:rsidRDefault="00E4164E">
            <w:pPr>
              <w:pStyle w:val="Tableheading"/>
              <w:suppressAutoHyphens/>
              <w:rPr>
                <w:rFonts w:ascii="Google Sans Text" w:eastAsia="Google Sans Text" w:hAnsi="Calibri" w:cs="Google Sans Text"/>
                <w:color w:val="1B1B1C"/>
                <w:szCs w:val="20"/>
                <w:lang w:eastAsia="zh-CN"/>
              </w:rPr>
            </w:pPr>
            <w:r>
              <w:t>Attribute Binding</w:t>
            </w:r>
          </w:p>
        </w:tc>
      </w:tr>
      <w:tr w:rsidR="003E0BB3" w14:paraId="1078452B" w14:textId="77777777">
        <w:trPr>
          <w:trHeight w:val="125"/>
          <w:jc w:val="center"/>
        </w:trPr>
        <w:tc>
          <w:tcPr>
            <w:tcW w:w="2500" w:type="pct"/>
          </w:tcPr>
          <w:p w14:paraId="10784529" w14:textId="77777777" w:rsidR="003E0BB3" w:rsidRDefault="00E4164E">
            <w:pPr>
              <w:pStyle w:val="Tableheading"/>
              <w:suppressAutoHyphens/>
            </w:pPr>
            <w:r>
              <w:t xml:space="preserve">S-100 Attribute </w:t>
            </w:r>
          </w:p>
        </w:tc>
        <w:tc>
          <w:tcPr>
            <w:tcW w:w="2500" w:type="pct"/>
          </w:tcPr>
          <w:p w14:paraId="1078452A" w14:textId="77777777" w:rsidR="003E0BB3" w:rsidRDefault="00E4164E">
            <w:pPr>
              <w:pStyle w:val="Tabletext"/>
              <w:suppressAutoHyphens/>
              <w:rPr>
                <w:color w:val="000000"/>
                <w:lang w:val="fr-FR"/>
              </w:rPr>
            </w:pPr>
            <w:r>
              <w:rPr>
                <w:color w:val="000000"/>
                <w:lang w:val="fr-FR"/>
              </w:rPr>
              <w:t>Type</w:t>
            </w:r>
          </w:p>
        </w:tc>
      </w:tr>
      <w:tr w:rsidR="003E0BB3" w14:paraId="1078452E" w14:textId="77777777">
        <w:trPr>
          <w:trHeight w:val="125"/>
          <w:jc w:val="center"/>
        </w:trPr>
        <w:tc>
          <w:tcPr>
            <w:tcW w:w="2500" w:type="pct"/>
          </w:tcPr>
          <w:p w14:paraId="1078452C" w14:textId="77777777" w:rsidR="003E0BB3" w:rsidRDefault="00E4164E">
            <w:pPr>
              <w:pStyle w:val="Tableheading"/>
              <w:suppressAutoHyphens/>
            </w:pPr>
            <w:r>
              <w:t xml:space="preserve">requestorInformation </w:t>
            </w:r>
          </w:p>
        </w:tc>
        <w:tc>
          <w:tcPr>
            <w:tcW w:w="2500" w:type="pct"/>
          </w:tcPr>
          <w:p w14:paraId="1078452D" w14:textId="77777777" w:rsidR="003E0BB3" w:rsidRDefault="00E4164E">
            <w:pPr>
              <w:pStyle w:val="Tabletext"/>
              <w:suppressAutoHyphens/>
              <w:rPr>
                <w:color w:val="000000"/>
                <w:lang w:val="fr-FR"/>
              </w:rPr>
            </w:pPr>
            <w:r>
              <w:rPr>
                <w:color w:val="000000"/>
                <w:lang w:val="fr-FR"/>
              </w:rPr>
              <w:t xml:space="preserve">VDES_RequestorInformation </w:t>
            </w:r>
          </w:p>
        </w:tc>
      </w:tr>
      <w:tr w:rsidR="003E0BB3" w14:paraId="10784531" w14:textId="77777777">
        <w:trPr>
          <w:trHeight w:val="125"/>
          <w:jc w:val="center"/>
        </w:trPr>
        <w:tc>
          <w:tcPr>
            <w:tcW w:w="2500" w:type="pct"/>
          </w:tcPr>
          <w:p w14:paraId="1078452F" w14:textId="77777777" w:rsidR="003E0BB3" w:rsidRDefault="00E4164E">
            <w:pPr>
              <w:pStyle w:val="Tableheading"/>
              <w:suppressAutoHyphens/>
            </w:pPr>
            <w:r>
              <w:rPr>
                <w:rFonts w:eastAsia="SimSun" w:hint="eastAsia"/>
                <w:lang w:eastAsia="zh-CN"/>
              </w:rPr>
              <w:t>transmission</w:t>
            </w:r>
            <w:r>
              <w:t xml:space="preserve">Parameters </w:t>
            </w:r>
          </w:p>
        </w:tc>
        <w:tc>
          <w:tcPr>
            <w:tcW w:w="2500" w:type="pct"/>
          </w:tcPr>
          <w:p w14:paraId="10784530" w14:textId="77777777" w:rsidR="003E0BB3" w:rsidRDefault="00E4164E">
            <w:pPr>
              <w:pStyle w:val="Tabletext"/>
              <w:suppressAutoHyphens/>
              <w:rPr>
                <w:color w:val="000000"/>
                <w:lang w:val="fr-FR"/>
              </w:rPr>
            </w:pPr>
            <w:r>
              <w:rPr>
                <w:color w:val="000000"/>
                <w:lang w:val="fr-FR"/>
              </w:rPr>
              <w:t>VDES_</w:t>
            </w:r>
            <w:r>
              <w:rPr>
                <w:rFonts w:eastAsia="SimSun" w:hint="eastAsia"/>
                <w:color w:val="000000"/>
                <w:lang w:val="fr-FR" w:eastAsia="zh-CN"/>
              </w:rPr>
              <w:t>Transmission</w:t>
            </w:r>
            <w:r>
              <w:rPr>
                <w:color w:val="000000"/>
                <w:lang w:val="fr-FR"/>
              </w:rPr>
              <w:t xml:space="preserve">Parameters </w:t>
            </w:r>
          </w:p>
        </w:tc>
      </w:tr>
      <w:tr w:rsidR="003E0BB3" w14:paraId="10784534" w14:textId="77777777">
        <w:trPr>
          <w:trHeight w:val="125"/>
          <w:jc w:val="center"/>
        </w:trPr>
        <w:tc>
          <w:tcPr>
            <w:tcW w:w="2500" w:type="pct"/>
          </w:tcPr>
          <w:p w14:paraId="10784532" w14:textId="77777777" w:rsidR="003E0BB3" w:rsidRDefault="00E4164E">
            <w:pPr>
              <w:pStyle w:val="Tableheading"/>
              <w:suppressAutoHyphens/>
            </w:pPr>
            <w:r>
              <w:t xml:space="preserve">messagePayload </w:t>
            </w:r>
          </w:p>
        </w:tc>
        <w:tc>
          <w:tcPr>
            <w:tcW w:w="2500" w:type="pct"/>
          </w:tcPr>
          <w:p w14:paraId="10784533" w14:textId="77777777" w:rsidR="003E0BB3" w:rsidRDefault="00E4164E">
            <w:pPr>
              <w:pStyle w:val="Tabletext"/>
              <w:suppressAutoHyphens/>
              <w:rPr>
                <w:color w:val="000000"/>
                <w:lang w:val="fr-FR"/>
              </w:rPr>
            </w:pPr>
            <w:r>
              <w:rPr>
                <w:color w:val="000000"/>
                <w:lang w:val="fr-FR"/>
              </w:rPr>
              <w:t xml:space="preserve">VDES_MessagePayload </w:t>
            </w:r>
          </w:p>
        </w:tc>
      </w:tr>
    </w:tbl>
    <w:p w14:paraId="10784535" w14:textId="77777777" w:rsidR="003E0BB3" w:rsidRDefault="003E0BB3">
      <w:pPr>
        <w:pStyle w:val="BodyText"/>
        <w:rPr>
          <w:rFonts w:ascii="Calibri" w:hAnsi="Calibri"/>
          <w:lang w:val="en-US" w:eastAsia="zh-CN"/>
        </w:rPr>
      </w:pPr>
    </w:p>
    <w:p w14:paraId="10784536" w14:textId="77777777" w:rsidR="003E0BB3" w:rsidRDefault="00E4164E">
      <w:pPr>
        <w:pStyle w:val="Tablecaption"/>
      </w:pPr>
      <w:r>
        <w:t>VDES_RequestorInformation Complex Attribute Definition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3E0BB3" w14:paraId="10784539" w14:textId="77777777">
        <w:trPr>
          <w:trHeight w:val="125"/>
          <w:jc w:val="center"/>
        </w:trPr>
        <w:tc>
          <w:tcPr>
            <w:tcW w:w="2500" w:type="pct"/>
          </w:tcPr>
          <w:p w14:paraId="10784537" w14:textId="77777777" w:rsidR="003E0BB3" w:rsidRDefault="00E4164E">
            <w:pPr>
              <w:pStyle w:val="Tableheading"/>
              <w:suppressAutoHyphens/>
            </w:pPr>
            <w:r>
              <w:t xml:space="preserve">Attribute Name </w:t>
            </w:r>
          </w:p>
        </w:tc>
        <w:tc>
          <w:tcPr>
            <w:tcW w:w="2500" w:type="pct"/>
          </w:tcPr>
          <w:p w14:paraId="10784538" w14:textId="77777777" w:rsidR="003E0BB3" w:rsidRDefault="00E4164E">
            <w:pPr>
              <w:pStyle w:val="Tabletext"/>
              <w:suppressAutoHyphens/>
              <w:rPr>
                <w:color w:val="000000"/>
                <w:lang w:val="en-US" w:eastAsia="zh-CN"/>
              </w:rPr>
            </w:pPr>
            <w:r>
              <w:rPr>
                <w:color w:val="000000"/>
                <w:lang w:val="en-US" w:eastAsia="zh-CN"/>
              </w:rPr>
              <w:t xml:space="preserve">VDES_RequestorInformation </w:t>
            </w:r>
          </w:p>
        </w:tc>
      </w:tr>
      <w:tr w:rsidR="003E0BB3" w14:paraId="1078453C" w14:textId="77777777">
        <w:trPr>
          <w:trHeight w:val="395"/>
          <w:jc w:val="center"/>
        </w:trPr>
        <w:tc>
          <w:tcPr>
            <w:tcW w:w="2500" w:type="pct"/>
            <w:vAlign w:val="center"/>
          </w:tcPr>
          <w:p w14:paraId="1078453A" w14:textId="77777777" w:rsidR="003E0BB3" w:rsidRDefault="00E4164E">
            <w:pPr>
              <w:pStyle w:val="Tableheading"/>
              <w:suppressAutoHyphens/>
            </w:pPr>
            <w:r>
              <w:t>Definition</w:t>
            </w:r>
          </w:p>
        </w:tc>
        <w:tc>
          <w:tcPr>
            <w:tcW w:w="2500" w:type="pct"/>
          </w:tcPr>
          <w:p w14:paraId="1078453B" w14:textId="77777777" w:rsidR="003E0BB3" w:rsidRDefault="00E4164E">
            <w:pPr>
              <w:pStyle w:val="Tabletext"/>
              <w:suppressAutoHyphens/>
              <w:rPr>
                <w:color w:val="000000"/>
                <w:lang w:val="en-US" w:eastAsia="zh-CN"/>
              </w:rPr>
            </w:pPr>
            <w:r>
              <w:rPr>
                <w:color w:val="000000"/>
                <w:lang w:val="en-US" w:eastAsia="zh-CN"/>
              </w:rPr>
              <w:t xml:space="preserve">A complex attribute containing the identity and authentication information of the request initiator. </w:t>
            </w:r>
          </w:p>
        </w:tc>
      </w:tr>
      <w:tr w:rsidR="003E0BB3" w14:paraId="1078453F" w14:textId="77777777">
        <w:trPr>
          <w:trHeight w:val="125"/>
          <w:jc w:val="center"/>
        </w:trPr>
        <w:tc>
          <w:tcPr>
            <w:tcW w:w="2500" w:type="pct"/>
          </w:tcPr>
          <w:p w14:paraId="1078453D" w14:textId="77777777" w:rsidR="003E0BB3" w:rsidRDefault="00E4164E">
            <w:pPr>
              <w:pStyle w:val="Tableheading"/>
              <w:suppressAutoHyphens/>
            </w:pPr>
            <w:r>
              <w:t xml:space="preserve">Type </w:t>
            </w:r>
          </w:p>
        </w:tc>
        <w:tc>
          <w:tcPr>
            <w:tcW w:w="2500" w:type="pct"/>
          </w:tcPr>
          <w:p w14:paraId="1078453E" w14:textId="77777777" w:rsidR="003E0BB3" w:rsidRDefault="00E4164E">
            <w:pPr>
              <w:pStyle w:val="Tabletext"/>
              <w:suppressAutoHyphens/>
              <w:rPr>
                <w:color w:val="000000"/>
                <w:lang w:val="en-US" w:eastAsia="zh-CN"/>
              </w:rPr>
            </w:pPr>
            <w:r>
              <w:rPr>
                <w:color w:val="000000"/>
                <w:lang w:val="en-US" w:eastAsia="zh-CN"/>
              </w:rPr>
              <w:t xml:space="preserve">Complex Attribute </w:t>
            </w:r>
          </w:p>
        </w:tc>
      </w:tr>
      <w:tr w:rsidR="003E0BB3" w14:paraId="10784541" w14:textId="77777777">
        <w:trPr>
          <w:trHeight w:val="125"/>
          <w:jc w:val="center"/>
        </w:trPr>
        <w:tc>
          <w:tcPr>
            <w:tcW w:w="5000" w:type="pct"/>
            <w:gridSpan w:val="2"/>
          </w:tcPr>
          <w:p w14:paraId="10784540" w14:textId="77777777" w:rsidR="003E0BB3" w:rsidRDefault="00E4164E">
            <w:pPr>
              <w:pStyle w:val="Tableheading"/>
              <w:suppressAutoHyphens/>
              <w:rPr>
                <w:rFonts w:ascii="Google Sans Text" w:eastAsia="Google Sans Text" w:hAnsi="Calibri" w:cs="Google Sans Text"/>
                <w:color w:val="1B1B1C"/>
                <w:szCs w:val="20"/>
                <w:lang w:eastAsia="zh-CN"/>
              </w:rPr>
            </w:pPr>
            <w:r>
              <w:t xml:space="preserve">Sub-attribute Binding </w:t>
            </w:r>
          </w:p>
        </w:tc>
      </w:tr>
      <w:tr w:rsidR="003E0BB3" w14:paraId="10784544" w14:textId="77777777">
        <w:trPr>
          <w:trHeight w:val="125"/>
          <w:jc w:val="center"/>
        </w:trPr>
        <w:tc>
          <w:tcPr>
            <w:tcW w:w="2500" w:type="pct"/>
          </w:tcPr>
          <w:p w14:paraId="10784542" w14:textId="77777777" w:rsidR="003E0BB3" w:rsidRDefault="00E4164E">
            <w:pPr>
              <w:pStyle w:val="Tableheading"/>
              <w:suppressAutoHyphens/>
            </w:pPr>
            <w:r>
              <w:t xml:space="preserve">S-100 Attribute </w:t>
            </w:r>
          </w:p>
        </w:tc>
        <w:tc>
          <w:tcPr>
            <w:tcW w:w="2500" w:type="pct"/>
          </w:tcPr>
          <w:p w14:paraId="10784543" w14:textId="77777777" w:rsidR="003E0BB3" w:rsidRDefault="00E4164E">
            <w:pPr>
              <w:pStyle w:val="Tabletext"/>
              <w:suppressAutoHyphens/>
              <w:rPr>
                <w:color w:val="000000"/>
                <w:lang w:val="en-US" w:eastAsia="zh-CN"/>
              </w:rPr>
            </w:pPr>
            <w:r>
              <w:rPr>
                <w:color w:val="000000"/>
                <w:lang w:val="en-US" w:eastAsia="zh-CN"/>
              </w:rPr>
              <w:t>Type</w:t>
            </w:r>
          </w:p>
        </w:tc>
      </w:tr>
      <w:tr w:rsidR="003E0BB3" w14:paraId="10784547" w14:textId="77777777">
        <w:trPr>
          <w:trHeight w:val="125"/>
          <w:jc w:val="center"/>
        </w:trPr>
        <w:tc>
          <w:tcPr>
            <w:tcW w:w="2500" w:type="pct"/>
          </w:tcPr>
          <w:p w14:paraId="10784545" w14:textId="77777777" w:rsidR="003E0BB3" w:rsidRDefault="00E4164E">
            <w:pPr>
              <w:pStyle w:val="Tableheading"/>
              <w:suppressAutoHyphens/>
            </w:pPr>
            <w:r>
              <w:t>organization</w:t>
            </w:r>
          </w:p>
        </w:tc>
        <w:tc>
          <w:tcPr>
            <w:tcW w:w="2500" w:type="pct"/>
          </w:tcPr>
          <w:p w14:paraId="10784546" w14:textId="77777777" w:rsidR="003E0BB3" w:rsidRDefault="00E4164E">
            <w:pPr>
              <w:pStyle w:val="Tabletext"/>
              <w:suppressAutoHyphens/>
              <w:rPr>
                <w:color w:val="000000"/>
                <w:lang w:val="en-US" w:eastAsia="zh-CN"/>
              </w:rPr>
            </w:pPr>
            <w:r>
              <w:rPr>
                <w:color w:val="000000"/>
                <w:lang w:val="en-US" w:eastAsia="zh-CN"/>
              </w:rPr>
              <w:t>CharacterString</w:t>
            </w:r>
          </w:p>
        </w:tc>
      </w:tr>
      <w:tr w:rsidR="003E0BB3" w14:paraId="1078454A" w14:textId="77777777">
        <w:trPr>
          <w:trHeight w:val="125"/>
          <w:jc w:val="center"/>
        </w:trPr>
        <w:tc>
          <w:tcPr>
            <w:tcW w:w="2500" w:type="pct"/>
          </w:tcPr>
          <w:p w14:paraId="10784548" w14:textId="77777777" w:rsidR="003E0BB3" w:rsidRDefault="00E4164E">
            <w:pPr>
              <w:pStyle w:val="Tableheading"/>
              <w:suppressAutoHyphens/>
            </w:pPr>
            <w:r>
              <w:lastRenderedPageBreak/>
              <w:t>user</w:t>
            </w:r>
          </w:p>
        </w:tc>
        <w:tc>
          <w:tcPr>
            <w:tcW w:w="2500" w:type="pct"/>
          </w:tcPr>
          <w:p w14:paraId="10784549" w14:textId="77777777" w:rsidR="003E0BB3" w:rsidRDefault="00E4164E">
            <w:pPr>
              <w:pStyle w:val="Tabletext"/>
              <w:suppressAutoHyphens/>
              <w:rPr>
                <w:color w:val="000000"/>
                <w:lang w:val="en-US" w:eastAsia="zh-CN"/>
              </w:rPr>
            </w:pPr>
            <w:r>
              <w:rPr>
                <w:color w:val="000000"/>
                <w:lang w:val="en-US" w:eastAsia="zh-CN"/>
              </w:rPr>
              <w:t>CharacterString</w:t>
            </w:r>
          </w:p>
        </w:tc>
      </w:tr>
      <w:tr w:rsidR="003E0BB3" w14:paraId="1078454D" w14:textId="77777777">
        <w:trPr>
          <w:trHeight w:val="125"/>
          <w:jc w:val="center"/>
        </w:trPr>
        <w:tc>
          <w:tcPr>
            <w:tcW w:w="2500" w:type="pct"/>
          </w:tcPr>
          <w:p w14:paraId="1078454B" w14:textId="77777777" w:rsidR="003E0BB3" w:rsidRDefault="00E4164E">
            <w:pPr>
              <w:pStyle w:val="Tableheading"/>
              <w:suppressAutoHyphens/>
            </w:pPr>
            <w:r>
              <w:t>password</w:t>
            </w:r>
          </w:p>
        </w:tc>
        <w:tc>
          <w:tcPr>
            <w:tcW w:w="2500" w:type="pct"/>
          </w:tcPr>
          <w:p w14:paraId="1078454C" w14:textId="77777777" w:rsidR="003E0BB3" w:rsidRDefault="00E4164E">
            <w:pPr>
              <w:pStyle w:val="Tabletext"/>
              <w:suppressAutoHyphens/>
              <w:rPr>
                <w:color w:val="000000"/>
                <w:lang w:val="en-US" w:eastAsia="zh-CN"/>
              </w:rPr>
            </w:pPr>
            <w:r>
              <w:rPr>
                <w:color w:val="000000"/>
                <w:lang w:val="en-US" w:eastAsia="zh-CN"/>
              </w:rPr>
              <w:t>CharacterString</w:t>
            </w:r>
          </w:p>
        </w:tc>
      </w:tr>
    </w:tbl>
    <w:p w14:paraId="1078454E" w14:textId="77777777" w:rsidR="003E0BB3" w:rsidRDefault="003E0BB3">
      <w:pPr>
        <w:pStyle w:val="BodyText"/>
        <w:rPr>
          <w:rFonts w:ascii="Calibri" w:hAnsi="Calibri"/>
          <w:lang w:val="en-US" w:eastAsia="zh-CN"/>
        </w:rPr>
      </w:pPr>
    </w:p>
    <w:p w14:paraId="1078454F" w14:textId="77777777" w:rsidR="003E0BB3" w:rsidRDefault="00E4164E">
      <w:pPr>
        <w:pStyle w:val="Tablecaption"/>
      </w:pPr>
      <w:r>
        <w:t>VDES_</w:t>
      </w:r>
      <w:r>
        <w:rPr>
          <w:rFonts w:eastAsia="SimSun" w:hint="eastAsia"/>
          <w:lang w:eastAsia="zh-CN"/>
        </w:rPr>
        <w:t>Transmission</w:t>
      </w:r>
      <w:r>
        <w:t>Parameters Complex Attribute Definition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3E0BB3" w14:paraId="10784552" w14:textId="77777777">
        <w:trPr>
          <w:trHeight w:val="125"/>
          <w:jc w:val="center"/>
        </w:trPr>
        <w:tc>
          <w:tcPr>
            <w:tcW w:w="2500" w:type="pct"/>
          </w:tcPr>
          <w:p w14:paraId="10784550" w14:textId="77777777" w:rsidR="003E0BB3" w:rsidRDefault="00E4164E">
            <w:pPr>
              <w:pStyle w:val="Tableheading"/>
              <w:suppressAutoHyphens/>
            </w:pPr>
            <w:r>
              <w:t xml:space="preserve">Attribute Name </w:t>
            </w:r>
          </w:p>
        </w:tc>
        <w:tc>
          <w:tcPr>
            <w:tcW w:w="2500" w:type="pct"/>
          </w:tcPr>
          <w:p w14:paraId="10784551" w14:textId="77777777" w:rsidR="003E0BB3" w:rsidRDefault="00E4164E">
            <w:pPr>
              <w:pStyle w:val="Tabletext"/>
              <w:suppressAutoHyphens/>
              <w:rPr>
                <w:color w:val="000000"/>
                <w:lang w:val="en-US" w:eastAsia="zh-CN"/>
              </w:rPr>
            </w:pPr>
            <w:r>
              <w:rPr>
                <w:color w:val="000000"/>
                <w:lang w:val="en-US" w:eastAsia="zh-CN"/>
              </w:rPr>
              <w:t>VDES_</w:t>
            </w:r>
            <w:r>
              <w:rPr>
                <w:rFonts w:hint="eastAsia"/>
                <w:color w:val="000000"/>
                <w:lang w:val="en-US" w:eastAsia="zh-CN"/>
              </w:rPr>
              <w:t>Transmission</w:t>
            </w:r>
            <w:r>
              <w:rPr>
                <w:color w:val="000000"/>
                <w:lang w:val="en-US" w:eastAsia="zh-CN"/>
              </w:rPr>
              <w:t xml:space="preserve">Parameters </w:t>
            </w:r>
          </w:p>
        </w:tc>
      </w:tr>
      <w:tr w:rsidR="003E0BB3" w14:paraId="10784555" w14:textId="77777777">
        <w:trPr>
          <w:trHeight w:val="260"/>
          <w:jc w:val="center"/>
        </w:trPr>
        <w:tc>
          <w:tcPr>
            <w:tcW w:w="2500" w:type="pct"/>
            <w:vAlign w:val="center"/>
          </w:tcPr>
          <w:p w14:paraId="10784553" w14:textId="77777777" w:rsidR="003E0BB3" w:rsidRDefault="00E4164E">
            <w:pPr>
              <w:pStyle w:val="Tableheading"/>
              <w:suppressAutoHyphens/>
            </w:pPr>
            <w:r>
              <w:t>Definition</w:t>
            </w:r>
          </w:p>
        </w:tc>
        <w:tc>
          <w:tcPr>
            <w:tcW w:w="2500" w:type="pct"/>
          </w:tcPr>
          <w:p w14:paraId="10784554" w14:textId="77777777" w:rsidR="003E0BB3" w:rsidRDefault="00E4164E">
            <w:pPr>
              <w:pStyle w:val="Tabletext"/>
              <w:suppressAutoHyphens/>
              <w:rPr>
                <w:color w:val="000000"/>
                <w:lang w:val="en-US" w:eastAsia="zh-CN"/>
              </w:rPr>
            </w:pPr>
            <w:r>
              <w:rPr>
                <w:color w:val="000000"/>
                <w:lang w:val="en-US" w:eastAsia="zh-CN"/>
              </w:rPr>
              <w:t xml:space="preserve">A complex attribute defining the </w:t>
            </w:r>
            <w:r>
              <w:rPr>
                <w:rFonts w:hint="eastAsia"/>
                <w:color w:val="000000"/>
                <w:lang w:val="en-US" w:eastAsia="zh-CN"/>
              </w:rPr>
              <w:t>Transmission</w:t>
            </w:r>
            <w:r>
              <w:rPr>
                <w:color w:val="000000"/>
                <w:lang w:val="en-US" w:eastAsia="zh-CN"/>
              </w:rPr>
              <w:t xml:space="preserve"> target and scope. </w:t>
            </w:r>
          </w:p>
        </w:tc>
      </w:tr>
      <w:tr w:rsidR="003E0BB3" w14:paraId="10784558" w14:textId="77777777">
        <w:trPr>
          <w:trHeight w:val="125"/>
          <w:jc w:val="center"/>
        </w:trPr>
        <w:tc>
          <w:tcPr>
            <w:tcW w:w="2500" w:type="pct"/>
          </w:tcPr>
          <w:p w14:paraId="10784556" w14:textId="77777777" w:rsidR="003E0BB3" w:rsidRDefault="00E4164E">
            <w:pPr>
              <w:pStyle w:val="Tableheading"/>
              <w:suppressAutoHyphens/>
            </w:pPr>
            <w:r>
              <w:t xml:space="preserve">Type </w:t>
            </w:r>
          </w:p>
        </w:tc>
        <w:tc>
          <w:tcPr>
            <w:tcW w:w="2500" w:type="pct"/>
          </w:tcPr>
          <w:p w14:paraId="10784557" w14:textId="77777777" w:rsidR="003E0BB3" w:rsidRDefault="00E4164E">
            <w:pPr>
              <w:pStyle w:val="Tabletext"/>
              <w:suppressAutoHyphens/>
              <w:rPr>
                <w:color w:val="000000"/>
                <w:lang w:val="en-US" w:eastAsia="zh-CN"/>
              </w:rPr>
            </w:pPr>
            <w:r>
              <w:rPr>
                <w:color w:val="000000"/>
                <w:lang w:val="en-US" w:eastAsia="zh-CN"/>
              </w:rPr>
              <w:t xml:space="preserve">Complex Attribute </w:t>
            </w:r>
          </w:p>
        </w:tc>
      </w:tr>
      <w:tr w:rsidR="003E0BB3" w14:paraId="1078455A" w14:textId="77777777">
        <w:trPr>
          <w:trHeight w:val="125"/>
          <w:jc w:val="center"/>
        </w:trPr>
        <w:tc>
          <w:tcPr>
            <w:tcW w:w="5000" w:type="pct"/>
            <w:gridSpan w:val="2"/>
          </w:tcPr>
          <w:p w14:paraId="10784559" w14:textId="77777777" w:rsidR="003E0BB3" w:rsidRDefault="00E4164E">
            <w:pPr>
              <w:pStyle w:val="Tableheading"/>
              <w:suppressAutoHyphens/>
              <w:rPr>
                <w:rFonts w:ascii="Google Sans Text" w:eastAsia="Google Sans Text" w:hAnsi="Calibri" w:cs="Google Sans Text"/>
                <w:color w:val="1B1B1C"/>
                <w:szCs w:val="20"/>
                <w:lang w:eastAsia="zh-CN"/>
              </w:rPr>
            </w:pPr>
            <w:r>
              <w:t xml:space="preserve">Sub-attribute Binding </w:t>
            </w:r>
          </w:p>
        </w:tc>
      </w:tr>
      <w:tr w:rsidR="003E0BB3" w14:paraId="1078455D" w14:textId="77777777">
        <w:trPr>
          <w:trHeight w:val="125"/>
          <w:jc w:val="center"/>
        </w:trPr>
        <w:tc>
          <w:tcPr>
            <w:tcW w:w="2500" w:type="pct"/>
          </w:tcPr>
          <w:p w14:paraId="1078455B" w14:textId="77777777" w:rsidR="003E0BB3" w:rsidRDefault="00E4164E">
            <w:pPr>
              <w:pStyle w:val="Tableheading"/>
              <w:suppressAutoHyphens/>
            </w:pPr>
            <w:r>
              <w:t xml:space="preserve">S-100 Attribute </w:t>
            </w:r>
          </w:p>
        </w:tc>
        <w:tc>
          <w:tcPr>
            <w:tcW w:w="2500" w:type="pct"/>
            <w:vAlign w:val="center"/>
          </w:tcPr>
          <w:p w14:paraId="1078455C" w14:textId="77777777" w:rsidR="003E0BB3" w:rsidRDefault="00E4164E">
            <w:pPr>
              <w:pStyle w:val="Tabletext"/>
              <w:suppressAutoHyphens/>
              <w:rPr>
                <w:color w:val="000000"/>
                <w:lang w:val="en-US" w:eastAsia="zh-CN"/>
              </w:rPr>
            </w:pPr>
            <w:r>
              <w:rPr>
                <w:color w:val="000000"/>
                <w:lang w:val="en-US" w:eastAsia="zh-CN"/>
              </w:rPr>
              <w:t>Type</w:t>
            </w:r>
          </w:p>
        </w:tc>
      </w:tr>
      <w:tr w:rsidR="003E0BB3" w14:paraId="10784560" w14:textId="77777777">
        <w:trPr>
          <w:trHeight w:val="125"/>
          <w:jc w:val="center"/>
        </w:trPr>
        <w:tc>
          <w:tcPr>
            <w:tcW w:w="2500" w:type="pct"/>
          </w:tcPr>
          <w:p w14:paraId="1078455E" w14:textId="77777777" w:rsidR="003E0BB3" w:rsidRDefault="00E4164E">
            <w:pPr>
              <w:pStyle w:val="Tableheading"/>
              <w:suppressAutoHyphens/>
            </w:pPr>
            <w:r>
              <w:rPr>
                <w:rFonts w:eastAsia="SimSun" w:hint="eastAsia"/>
                <w:lang w:eastAsia="zh-CN"/>
              </w:rPr>
              <w:t>transmission</w:t>
            </w:r>
            <w:r>
              <w:t xml:space="preserve">Type </w:t>
            </w:r>
          </w:p>
        </w:tc>
        <w:tc>
          <w:tcPr>
            <w:tcW w:w="2500" w:type="pct"/>
          </w:tcPr>
          <w:p w14:paraId="1078455F" w14:textId="77777777" w:rsidR="003E0BB3" w:rsidRDefault="00E4164E">
            <w:pPr>
              <w:pStyle w:val="Tabletext"/>
              <w:suppressAutoHyphens/>
              <w:rPr>
                <w:color w:val="000000"/>
                <w:lang w:val="en-US" w:eastAsia="zh-CN"/>
              </w:rPr>
            </w:pPr>
            <w:r>
              <w:rPr>
                <w:color w:val="000000"/>
                <w:lang w:val="en-US" w:eastAsia="zh-CN"/>
              </w:rPr>
              <w:t>VDES_</w:t>
            </w:r>
            <w:r>
              <w:rPr>
                <w:rFonts w:hint="eastAsia"/>
                <w:color w:val="000000"/>
                <w:lang w:val="en-US" w:eastAsia="zh-CN"/>
              </w:rPr>
              <w:t>Transmission</w:t>
            </w:r>
            <w:r>
              <w:rPr>
                <w:color w:val="000000"/>
                <w:lang w:val="en-US" w:eastAsia="zh-CN"/>
              </w:rPr>
              <w:t xml:space="preserve">Type (Enum) </w:t>
            </w:r>
          </w:p>
        </w:tc>
      </w:tr>
      <w:tr w:rsidR="003E0BB3" w14:paraId="10784563" w14:textId="77777777">
        <w:trPr>
          <w:trHeight w:val="125"/>
          <w:jc w:val="center"/>
        </w:trPr>
        <w:tc>
          <w:tcPr>
            <w:tcW w:w="2500" w:type="pct"/>
          </w:tcPr>
          <w:p w14:paraId="10784561" w14:textId="77777777" w:rsidR="003E0BB3" w:rsidRDefault="00E4164E">
            <w:pPr>
              <w:pStyle w:val="Tableheading"/>
              <w:suppressAutoHyphens/>
            </w:pPr>
            <w:r>
              <w:t xml:space="preserve">targetMMSI </w:t>
            </w:r>
          </w:p>
        </w:tc>
        <w:tc>
          <w:tcPr>
            <w:tcW w:w="2500" w:type="pct"/>
          </w:tcPr>
          <w:p w14:paraId="10784562" w14:textId="77777777" w:rsidR="003E0BB3" w:rsidRDefault="00E4164E">
            <w:pPr>
              <w:pStyle w:val="Tabletext"/>
              <w:suppressAutoHyphens/>
              <w:rPr>
                <w:color w:val="000000"/>
                <w:lang w:val="en-US" w:eastAsia="zh-CN"/>
              </w:rPr>
            </w:pPr>
            <w:r>
              <w:rPr>
                <w:color w:val="000000"/>
                <w:lang w:val="en-US" w:eastAsia="zh-CN"/>
              </w:rPr>
              <w:t xml:space="preserve">CharacterString </w:t>
            </w:r>
          </w:p>
        </w:tc>
      </w:tr>
      <w:tr w:rsidR="003E0BB3" w14:paraId="10784566" w14:textId="77777777">
        <w:trPr>
          <w:trHeight w:val="125"/>
          <w:jc w:val="center"/>
        </w:trPr>
        <w:tc>
          <w:tcPr>
            <w:tcW w:w="2500" w:type="pct"/>
          </w:tcPr>
          <w:p w14:paraId="10784564" w14:textId="77777777" w:rsidR="003E0BB3" w:rsidRDefault="00E4164E">
            <w:pPr>
              <w:pStyle w:val="Tableheading"/>
              <w:suppressAutoHyphens/>
            </w:pPr>
            <w:r>
              <w:rPr>
                <w:rFonts w:eastAsia="SimSun" w:hint="eastAsia"/>
                <w:lang w:eastAsia="zh-CN"/>
              </w:rPr>
              <w:t>transmission</w:t>
            </w:r>
            <w:r>
              <w:t xml:space="preserve">Region </w:t>
            </w:r>
          </w:p>
        </w:tc>
        <w:tc>
          <w:tcPr>
            <w:tcW w:w="2500" w:type="pct"/>
          </w:tcPr>
          <w:p w14:paraId="10784565" w14:textId="77777777" w:rsidR="003E0BB3" w:rsidRDefault="00E4164E">
            <w:pPr>
              <w:pStyle w:val="Tabletext"/>
              <w:suppressAutoHyphens/>
              <w:rPr>
                <w:color w:val="000000"/>
                <w:lang w:val="en-US" w:eastAsia="zh-CN"/>
              </w:rPr>
            </w:pPr>
            <w:r>
              <w:rPr>
                <w:color w:val="000000"/>
                <w:lang w:val="en-US" w:eastAsia="zh-CN"/>
              </w:rPr>
              <w:t xml:space="preserve">GM_Polygon </w:t>
            </w:r>
          </w:p>
        </w:tc>
      </w:tr>
      <w:tr w:rsidR="003E0BB3" w14:paraId="10784569" w14:textId="77777777">
        <w:trPr>
          <w:trHeight w:val="125"/>
          <w:jc w:val="center"/>
        </w:trPr>
        <w:tc>
          <w:tcPr>
            <w:tcW w:w="4927" w:type="dxa"/>
            <w:vAlign w:val="center"/>
          </w:tcPr>
          <w:p w14:paraId="10784567" w14:textId="77777777" w:rsidR="003E0BB3" w:rsidRDefault="00E4164E">
            <w:pPr>
              <w:suppressAutoHyphens/>
              <w:spacing w:before="60" w:after="60"/>
              <w:ind w:left="113" w:right="113"/>
              <w:jc w:val="center"/>
              <w:rPr>
                <w:rFonts w:eastAsia="SimSun"/>
                <w:lang w:val="en-US" w:eastAsia="zh-CN"/>
              </w:rPr>
            </w:pPr>
            <w:r>
              <w:rPr>
                <w:rFonts w:ascii="Calibri" w:eastAsia="SimSun" w:hAnsi="Calibri" w:cs="Times New Roman" w:hint="eastAsia"/>
                <w:b/>
                <w:color w:val="00558C"/>
                <w:sz w:val="20"/>
                <w:szCs w:val="20"/>
                <w:lang w:val="en-US" w:eastAsia="zh-CN"/>
              </w:rPr>
              <w:t>acknowledgementRequired</w:t>
            </w:r>
          </w:p>
        </w:tc>
        <w:tc>
          <w:tcPr>
            <w:tcW w:w="4927" w:type="dxa"/>
            <w:vAlign w:val="center"/>
          </w:tcPr>
          <w:p w14:paraId="10784568" w14:textId="77777777" w:rsidR="003E0BB3" w:rsidRDefault="00E4164E">
            <w:pPr>
              <w:pStyle w:val="Tabletext"/>
              <w:suppressAutoHyphens/>
              <w:rPr>
                <w:color w:val="000000"/>
                <w:lang w:val="en-US" w:eastAsia="zh-CN"/>
              </w:rPr>
            </w:pPr>
            <w:r>
              <w:rPr>
                <w:rFonts w:hint="eastAsia"/>
                <w:lang w:val="fr-FR" w:eastAsia="zh-CN"/>
              </w:rPr>
              <w:t>Boolean</w:t>
            </w:r>
          </w:p>
        </w:tc>
      </w:tr>
      <w:tr w:rsidR="003E0BB3" w14:paraId="1078456C" w14:textId="77777777">
        <w:trPr>
          <w:trHeight w:val="125"/>
          <w:jc w:val="center"/>
        </w:trPr>
        <w:tc>
          <w:tcPr>
            <w:tcW w:w="4927" w:type="dxa"/>
            <w:vAlign w:val="center"/>
          </w:tcPr>
          <w:p w14:paraId="1078456A" w14:textId="77777777" w:rsidR="003E0BB3" w:rsidRDefault="00E4164E">
            <w:pPr>
              <w:suppressAutoHyphens/>
              <w:spacing w:before="60" w:after="60"/>
              <w:ind w:left="113" w:right="113"/>
              <w:jc w:val="center"/>
              <w:rPr>
                <w:rFonts w:eastAsia="SimSun"/>
                <w:lang w:val="en-US" w:eastAsia="zh-CN"/>
              </w:rPr>
            </w:pPr>
            <w:r>
              <w:rPr>
                <w:rFonts w:ascii="Calibri" w:eastAsia="SimSun" w:hAnsi="Calibri" w:cs="Times New Roman" w:hint="eastAsia"/>
                <w:b/>
                <w:color w:val="00558C"/>
                <w:sz w:val="20"/>
                <w:szCs w:val="20"/>
                <w:lang w:val="en-US" w:eastAsia="zh-CN"/>
              </w:rPr>
              <w:t>validUntil</w:t>
            </w:r>
          </w:p>
        </w:tc>
        <w:tc>
          <w:tcPr>
            <w:tcW w:w="4927" w:type="dxa"/>
            <w:vAlign w:val="center"/>
          </w:tcPr>
          <w:p w14:paraId="1078456B" w14:textId="77777777" w:rsidR="003E0BB3" w:rsidRDefault="00E4164E">
            <w:pPr>
              <w:pStyle w:val="Tabletext"/>
              <w:suppressAutoHyphens/>
              <w:rPr>
                <w:color w:val="000000"/>
                <w:lang w:val="en-US" w:eastAsia="zh-CN"/>
              </w:rPr>
            </w:pPr>
            <w:r>
              <w:rPr>
                <w:rFonts w:hint="eastAsia"/>
                <w:lang w:val="fr-FR" w:eastAsia="zh-CN"/>
              </w:rPr>
              <w:t>DateTime</w:t>
            </w:r>
          </w:p>
        </w:tc>
      </w:tr>
    </w:tbl>
    <w:p w14:paraId="1078456D" w14:textId="77777777" w:rsidR="003E0BB3" w:rsidRDefault="003E0BB3">
      <w:pPr>
        <w:pStyle w:val="BodyText"/>
        <w:rPr>
          <w:rFonts w:ascii="Calibri" w:hAnsi="Calibri"/>
          <w:lang w:val="en-US" w:eastAsia="zh-CN"/>
        </w:rPr>
      </w:pPr>
    </w:p>
    <w:p w14:paraId="1078456E" w14:textId="77777777" w:rsidR="003E0BB3" w:rsidRDefault="00E4164E">
      <w:pPr>
        <w:pStyle w:val="Tablecaption"/>
      </w:pPr>
      <w:r>
        <w:t>VDES_MessagePayload Complex Attribute Definition</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4815"/>
      </w:tblGrid>
      <w:tr w:rsidR="003E0BB3" w14:paraId="10784571" w14:textId="77777777">
        <w:trPr>
          <w:trHeight w:val="125"/>
          <w:jc w:val="center"/>
        </w:trPr>
        <w:tc>
          <w:tcPr>
            <w:tcW w:w="2499" w:type="pct"/>
          </w:tcPr>
          <w:p w14:paraId="1078456F" w14:textId="77777777" w:rsidR="003E0BB3" w:rsidRDefault="00E4164E">
            <w:pPr>
              <w:pStyle w:val="Tableheading"/>
              <w:suppressAutoHyphens/>
            </w:pPr>
            <w:r>
              <w:t xml:space="preserve">Attribute Name </w:t>
            </w:r>
          </w:p>
        </w:tc>
        <w:tc>
          <w:tcPr>
            <w:tcW w:w="2500" w:type="pct"/>
          </w:tcPr>
          <w:p w14:paraId="10784570" w14:textId="77777777" w:rsidR="003E0BB3" w:rsidRDefault="00E4164E">
            <w:pPr>
              <w:pStyle w:val="Tabletext"/>
              <w:suppressAutoHyphens/>
              <w:rPr>
                <w:color w:val="000000"/>
                <w:lang w:val="en-US" w:eastAsia="zh-CN"/>
              </w:rPr>
            </w:pPr>
            <w:r>
              <w:rPr>
                <w:color w:val="000000"/>
                <w:lang w:val="en-US" w:eastAsia="zh-CN"/>
              </w:rPr>
              <w:t xml:space="preserve">VDES_MessagePayload </w:t>
            </w:r>
          </w:p>
        </w:tc>
      </w:tr>
      <w:tr w:rsidR="003E0BB3" w14:paraId="10784574" w14:textId="77777777">
        <w:trPr>
          <w:trHeight w:val="260"/>
          <w:jc w:val="center"/>
        </w:trPr>
        <w:tc>
          <w:tcPr>
            <w:tcW w:w="2499" w:type="pct"/>
            <w:vAlign w:val="center"/>
          </w:tcPr>
          <w:p w14:paraId="10784572" w14:textId="77777777" w:rsidR="003E0BB3" w:rsidRDefault="00E4164E">
            <w:pPr>
              <w:pStyle w:val="Tableheading"/>
              <w:suppressAutoHyphens/>
            </w:pPr>
            <w:r>
              <w:t>Definition</w:t>
            </w:r>
          </w:p>
        </w:tc>
        <w:tc>
          <w:tcPr>
            <w:tcW w:w="2500" w:type="pct"/>
          </w:tcPr>
          <w:p w14:paraId="10784573" w14:textId="77777777" w:rsidR="003E0BB3" w:rsidRDefault="00E4164E">
            <w:pPr>
              <w:pStyle w:val="Tabletext"/>
              <w:suppressAutoHyphens/>
              <w:rPr>
                <w:color w:val="000000"/>
                <w:lang w:val="en-US" w:eastAsia="zh-CN"/>
              </w:rPr>
            </w:pPr>
            <w:r>
              <w:rPr>
                <w:color w:val="000000"/>
                <w:lang w:val="en-US" w:eastAsia="zh-CN"/>
              </w:rPr>
              <w:t xml:space="preserve">A complex attribute containing the data content to be </w:t>
            </w:r>
            <w:r>
              <w:rPr>
                <w:rFonts w:hint="eastAsia"/>
                <w:color w:val="000000"/>
                <w:lang w:val="en-US" w:eastAsia="zh-CN"/>
              </w:rPr>
              <w:t>Transmission</w:t>
            </w:r>
            <w:r>
              <w:rPr>
                <w:color w:val="000000"/>
                <w:lang w:val="en-US" w:eastAsia="zh-CN"/>
              </w:rPr>
              <w:t xml:space="preserve">. </w:t>
            </w:r>
          </w:p>
        </w:tc>
      </w:tr>
      <w:tr w:rsidR="003E0BB3" w14:paraId="10784577" w14:textId="77777777">
        <w:trPr>
          <w:trHeight w:val="125"/>
          <w:jc w:val="center"/>
        </w:trPr>
        <w:tc>
          <w:tcPr>
            <w:tcW w:w="2499" w:type="pct"/>
          </w:tcPr>
          <w:p w14:paraId="10784575" w14:textId="77777777" w:rsidR="003E0BB3" w:rsidRDefault="00E4164E">
            <w:pPr>
              <w:pStyle w:val="Tableheading"/>
              <w:suppressAutoHyphens/>
            </w:pPr>
            <w:r>
              <w:t xml:space="preserve">Type </w:t>
            </w:r>
          </w:p>
        </w:tc>
        <w:tc>
          <w:tcPr>
            <w:tcW w:w="2500" w:type="pct"/>
          </w:tcPr>
          <w:p w14:paraId="10784576" w14:textId="77777777" w:rsidR="003E0BB3" w:rsidRDefault="00E4164E">
            <w:pPr>
              <w:pStyle w:val="Tabletext"/>
              <w:suppressAutoHyphens/>
              <w:rPr>
                <w:color w:val="000000"/>
                <w:lang w:val="en-US" w:eastAsia="zh-CN"/>
              </w:rPr>
            </w:pPr>
            <w:r>
              <w:rPr>
                <w:color w:val="000000"/>
                <w:lang w:val="en-US" w:eastAsia="zh-CN"/>
              </w:rPr>
              <w:t xml:space="preserve">Complex Attribute </w:t>
            </w:r>
          </w:p>
        </w:tc>
      </w:tr>
      <w:tr w:rsidR="003E0BB3" w14:paraId="10784579" w14:textId="77777777">
        <w:trPr>
          <w:trHeight w:val="125"/>
          <w:jc w:val="center"/>
        </w:trPr>
        <w:tc>
          <w:tcPr>
            <w:tcW w:w="5000" w:type="pct"/>
            <w:gridSpan w:val="2"/>
          </w:tcPr>
          <w:p w14:paraId="10784578" w14:textId="77777777" w:rsidR="003E0BB3" w:rsidRDefault="00E4164E">
            <w:pPr>
              <w:pStyle w:val="Tableheading"/>
              <w:suppressAutoHyphens/>
              <w:rPr>
                <w:rFonts w:ascii="Google Sans Text" w:eastAsia="Google Sans Text" w:hAnsi="Calibri" w:cs="Google Sans Text"/>
                <w:color w:val="1B1B1C"/>
                <w:szCs w:val="20"/>
                <w:lang w:eastAsia="zh-CN"/>
              </w:rPr>
            </w:pPr>
            <w:r>
              <w:t xml:space="preserve">Sub-attribute Binding </w:t>
            </w:r>
          </w:p>
        </w:tc>
      </w:tr>
      <w:tr w:rsidR="003E0BB3" w14:paraId="1078457C" w14:textId="77777777">
        <w:trPr>
          <w:trHeight w:val="125"/>
          <w:jc w:val="center"/>
        </w:trPr>
        <w:tc>
          <w:tcPr>
            <w:tcW w:w="2499" w:type="pct"/>
          </w:tcPr>
          <w:p w14:paraId="1078457A" w14:textId="77777777" w:rsidR="003E0BB3" w:rsidRDefault="00E4164E">
            <w:pPr>
              <w:pStyle w:val="Tableheading"/>
              <w:suppressAutoHyphens/>
              <w:rPr>
                <w:rFonts w:ascii="Google Sans Text" w:eastAsia="Google Sans Text" w:hAnsi="Calibri" w:cs="Google Sans Text"/>
                <w:color w:val="1B1B1C"/>
                <w:szCs w:val="20"/>
                <w:lang w:eastAsia="zh-CN"/>
              </w:rPr>
            </w:pPr>
            <w:r>
              <w:t xml:space="preserve">S-100 Attribute </w:t>
            </w:r>
          </w:p>
        </w:tc>
        <w:tc>
          <w:tcPr>
            <w:tcW w:w="2500" w:type="pct"/>
            <w:vAlign w:val="center"/>
          </w:tcPr>
          <w:p w14:paraId="1078457B" w14:textId="77777777" w:rsidR="003E0BB3" w:rsidRDefault="00E4164E">
            <w:pPr>
              <w:pStyle w:val="Tabletext"/>
              <w:suppressAutoHyphens/>
              <w:rPr>
                <w:color w:val="000000"/>
                <w:lang w:val="en-US" w:eastAsia="zh-CN"/>
              </w:rPr>
            </w:pPr>
            <w:r>
              <w:rPr>
                <w:color w:val="000000"/>
                <w:lang w:val="en-US" w:eastAsia="zh-CN"/>
              </w:rPr>
              <w:t>Type</w:t>
            </w:r>
          </w:p>
        </w:tc>
      </w:tr>
      <w:tr w:rsidR="003E0BB3" w14:paraId="1078457F" w14:textId="77777777">
        <w:trPr>
          <w:trHeight w:val="125"/>
          <w:jc w:val="center"/>
        </w:trPr>
        <w:tc>
          <w:tcPr>
            <w:tcW w:w="2499" w:type="pct"/>
          </w:tcPr>
          <w:p w14:paraId="1078457D" w14:textId="77777777" w:rsidR="003E0BB3" w:rsidRDefault="00E4164E">
            <w:pPr>
              <w:pStyle w:val="Tableheading"/>
              <w:suppressAutoHyphens/>
            </w:pPr>
            <w:r>
              <w:rPr>
                <w:rFonts w:hint="eastAsia"/>
              </w:rPr>
              <w:t>VPFI</w:t>
            </w:r>
          </w:p>
        </w:tc>
        <w:tc>
          <w:tcPr>
            <w:tcW w:w="2500" w:type="pct"/>
            <w:vAlign w:val="center"/>
          </w:tcPr>
          <w:p w14:paraId="1078457E" w14:textId="77777777" w:rsidR="003E0BB3" w:rsidRDefault="00E4164E">
            <w:pPr>
              <w:pStyle w:val="Tabletext"/>
              <w:suppressAutoHyphens/>
              <w:rPr>
                <w:color w:val="000000"/>
                <w:lang w:val="en-US" w:eastAsia="zh-CN"/>
              </w:rPr>
            </w:pPr>
            <w:r>
              <w:rPr>
                <w:rFonts w:hint="eastAsia"/>
                <w:color w:val="000000"/>
                <w:lang w:val="en-US" w:eastAsia="zh-CN"/>
              </w:rPr>
              <w:t>CharacterString</w:t>
            </w:r>
          </w:p>
        </w:tc>
      </w:tr>
      <w:tr w:rsidR="003E0BB3" w14:paraId="10784582" w14:textId="77777777">
        <w:trPr>
          <w:trHeight w:val="125"/>
          <w:jc w:val="center"/>
        </w:trPr>
        <w:tc>
          <w:tcPr>
            <w:tcW w:w="2499" w:type="pct"/>
          </w:tcPr>
          <w:p w14:paraId="10784580" w14:textId="77777777" w:rsidR="003E0BB3" w:rsidRDefault="00E4164E">
            <w:pPr>
              <w:pStyle w:val="Tableheading"/>
              <w:suppressAutoHyphens/>
            </w:pPr>
            <w:r>
              <w:t>messageID</w:t>
            </w:r>
          </w:p>
        </w:tc>
        <w:tc>
          <w:tcPr>
            <w:tcW w:w="2500" w:type="pct"/>
          </w:tcPr>
          <w:p w14:paraId="10784581" w14:textId="77777777" w:rsidR="003E0BB3" w:rsidRDefault="00E4164E">
            <w:pPr>
              <w:pStyle w:val="Tabletext"/>
              <w:suppressAutoHyphens/>
              <w:rPr>
                <w:color w:val="000000"/>
                <w:lang w:val="en-US" w:eastAsia="zh-CN"/>
              </w:rPr>
            </w:pPr>
            <w:r>
              <w:rPr>
                <w:color w:val="000000"/>
                <w:lang w:val="en-US" w:eastAsia="zh-CN"/>
              </w:rPr>
              <w:t>CharacterString</w:t>
            </w:r>
          </w:p>
        </w:tc>
      </w:tr>
      <w:tr w:rsidR="003E0BB3" w14:paraId="10784585" w14:textId="77777777">
        <w:trPr>
          <w:trHeight w:val="125"/>
          <w:jc w:val="center"/>
        </w:trPr>
        <w:tc>
          <w:tcPr>
            <w:tcW w:w="2499" w:type="pct"/>
          </w:tcPr>
          <w:p w14:paraId="10784583" w14:textId="77777777" w:rsidR="003E0BB3" w:rsidRDefault="00E4164E">
            <w:pPr>
              <w:pStyle w:val="Tableheading"/>
              <w:suppressAutoHyphens/>
            </w:pPr>
            <w:r>
              <w:t>messageContent</w:t>
            </w:r>
          </w:p>
        </w:tc>
        <w:tc>
          <w:tcPr>
            <w:tcW w:w="2500" w:type="pct"/>
          </w:tcPr>
          <w:p w14:paraId="10784584" w14:textId="77777777" w:rsidR="003E0BB3" w:rsidRDefault="00E4164E">
            <w:pPr>
              <w:pStyle w:val="Tabletext"/>
              <w:suppressAutoHyphens/>
              <w:rPr>
                <w:color w:val="000000"/>
                <w:lang w:val="en-US" w:eastAsia="zh-CN"/>
              </w:rPr>
            </w:pPr>
            <w:r>
              <w:rPr>
                <w:color w:val="000000"/>
                <w:lang w:val="en-US" w:eastAsia="zh-CN"/>
              </w:rPr>
              <w:t>CharacterString</w:t>
            </w:r>
          </w:p>
        </w:tc>
      </w:tr>
    </w:tbl>
    <w:p w14:paraId="10784586" w14:textId="77777777" w:rsidR="003E0BB3" w:rsidRDefault="003E0BB3">
      <w:pPr>
        <w:pStyle w:val="BodyText"/>
        <w:rPr>
          <w:rFonts w:ascii="Calibri" w:hAnsi="Calibri"/>
          <w:lang w:val="en-US" w:eastAsia="zh-CN"/>
        </w:rPr>
      </w:pPr>
    </w:p>
    <w:p w14:paraId="10784587" w14:textId="77777777" w:rsidR="003E0BB3" w:rsidRDefault="00E4164E">
      <w:pPr>
        <w:pStyle w:val="AnnexHead2"/>
      </w:pPr>
      <w:r>
        <w:t xml:space="preserve">Units of Measurement </w:t>
      </w:r>
    </w:p>
    <w:p w14:paraId="10784588" w14:textId="77777777" w:rsidR="003E0BB3" w:rsidRDefault="00E4164E">
      <w:pPr>
        <w:pStyle w:val="BodyText"/>
        <w:rPr>
          <w:rFonts w:ascii="Calibri" w:eastAsia="SimSun" w:hAnsi="Calibri"/>
          <w:lang w:eastAsia="zh-CN"/>
        </w:rPr>
      </w:pPr>
      <w:r>
        <w:rPr>
          <w:rFonts w:ascii="Calibri" w:hAnsi="Calibri"/>
        </w:rPr>
        <w:t xml:space="preserve">All units of measure used in this specification must adhere to the International System of Units (SI) and common practices within the maritime domain: </w:t>
      </w:r>
    </w:p>
    <w:p w14:paraId="10784589" w14:textId="77777777" w:rsidR="003E0BB3" w:rsidRDefault="00E4164E">
      <w:pPr>
        <w:pStyle w:val="Bullet1"/>
        <w:suppressAutoHyphens/>
        <w:ind w:left="0" w:firstLine="425"/>
      </w:pPr>
      <w:r>
        <w:rPr>
          <w:rFonts w:eastAsia="SimSun"/>
          <w:lang w:eastAsia="zh-CN"/>
        </w:rPr>
        <w:t>Geographic Coordinates: Latitude and longitude must be expressed in decimal degrees</w:t>
      </w:r>
      <w:r>
        <w:rPr>
          <w:rFonts w:eastAsia="SimSun" w:hint="eastAsia"/>
          <w:lang w:eastAsia="zh-CN"/>
        </w:rPr>
        <w:t>.</w:t>
      </w:r>
    </w:p>
    <w:p w14:paraId="1078458A" w14:textId="77777777" w:rsidR="003E0BB3" w:rsidRDefault="00E4164E">
      <w:pPr>
        <w:pStyle w:val="Bullet1"/>
        <w:widowControl w:val="0"/>
        <w:suppressAutoHyphens/>
        <w:autoSpaceDE w:val="0"/>
        <w:autoSpaceDN w:val="0"/>
        <w:adjustRightInd w:val="0"/>
        <w:ind w:leftChars="236" w:left="720" w:hanging="295"/>
        <w:rPr>
          <w:rFonts w:ascii="Google Sans" w:eastAsia="Google Sans" w:hAnsi="Calibri" w:cs="Google Sans"/>
          <w:color w:val="000000"/>
          <w:sz w:val="24"/>
          <w:szCs w:val="24"/>
          <w:lang w:val="en-US" w:eastAsia="zh-CN"/>
        </w:rPr>
      </w:pPr>
      <w:r>
        <w:t xml:space="preserve">Distance: When defining geometric objects (e.g., the radius of a gml:CircleByCenterPoint), the unit of distance must be the nautical mile </w:t>
      </w:r>
    </w:p>
    <w:p w14:paraId="1078458B" w14:textId="77777777" w:rsidR="003E0BB3" w:rsidRDefault="00E4164E">
      <w:pPr>
        <w:pStyle w:val="AnnexHead2"/>
      </w:pPr>
      <w:r>
        <w:rPr>
          <w:rFonts w:hint="eastAsia"/>
        </w:rPr>
        <w:t>GML Encoding Specification</w:t>
      </w:r>
      <w:r>
        <w:t xml:space="preserve"> </w:t>
      </w:r>
    </w:p>
    <w:p w14:paraId="1078458C" w14:textId="77777777" w:rsidR="003E0BB3" w:rsidRDefault="00E4164E">
      <w:pPr>
        <w:pStyle w:val="BodyText"/>
        <w:rPr>
          <w:rFonts w:ascii="Calibri" w:hAnsi="Calibri"/>
          <w:lang w:eastAsia="zh-CN"/>
        </w:rPr>
      </w:pPr>
      <w:r>
        <w:rPr>
          <w:rFonts w:ascii="Calibri" w:hAnsi="Calibri"/>
        </w:rPr>
        <w:t>All VDES_</w:t>
      </w:r>
      <w:r>
        <w:rPr>
          <w:rFonts w:ascii="Calibri" w:eastAsia="SimSun" w:hAnsi="Calibri" w:hint="eastAsia"/>
          <w:lang w:eastAsia="zh-CN"/>
        </w:rPr>
        <w:t>Transmission</w:t>
      </w:r>
      <w:r>
        <w:rPr>
          <w:rFonts w:ascii="Calibri" w:hAnsi="Calibri"/>
        </w:rPr>
        <w:t xml:space="preserve">Request requests must be encoded as XML documents compliant with IHO S-100 Part 10b (GML Application Schema). </w:t>
      </w:r>
    </w:p>
    <w:p w14:paraId="1078458D" w14:textId="77777777" w:rsidR="003E0BB3" w:rsidRDefault="00E4164E">
      <w:pPr>
        <w:pStyle w:val="Bullet1"/>
        <w:suppressAutoHyphens/>
        <w:ind w:leftChars="236" w:left="720" w:hanging="295"/>
        <w:rPr>
          <w:rFonts w:eastAsia="SimSun"/>
          <w:lang w:eastAsia="zh-CN"/>
        </w:rPr>
      </w:pPr>
      <w:r>
        <w:rPr>
          <w:rFonts w:eastAsia="SimSun"/>
          <w:lang w:eastAsia="zh-CN"/>
        </w:rPr>
        <w:lastRenderedPageBreak/>
        <w:t xml:space="preserve">XML Declaration: Each GML document must begin with an XML declaration specifying the XML version and encoding format, e.g., &lt;?xml version="1.0" encoding="UTF-8"?&gt;. </w:t>
      </w:r>
    </w:p>
    <w:p w14:paraId="1078458E" w14:textId="77777777" w:rsidR="003E0BB3" w:rsidRDefault="00E4164E">
      <w:pPr>
        <w:pStyle w:val="Bullet1"/>
        <w:suppressAutoHyphens/>
        <w:ind w:leftChars="236" w:left="720" w:hanging="295"/>
        <w:rPr>
          <w:rFonts w:eastAsia="SimSun"/>
          <w:lang w:eastAsia="zh-CN"/>
        </w:rPr>
      </w:pPr>
      <w:r>
        <w:rPr>
          <w:rFonts w:eastAsia="SimSun"/>
          <w:lang w:eastAsia="zh-CN"/>
        </w:rPr>
        <w:t xml:space="preserve">Namespaces: GML documents must correctly declare the namespaces they use, including the target namespace of this product specification, the GML namespace, and the XML Schema instance namespace. </w:t>
      </w:r>
    </w:p>
    <w:p w14:paraId="1078458F" w14:textId="77777777" w:rsidR="003E0BB3" w:rsidRDefault="00E4164E">
      <w:pPr>
        <w:pStyle w:val="Bullet1"/>
        <w:suppressAutoHyphens/>
        <w:ind w:leftChars="236" w:left="720" w:hanging="295"/>
        <w:rPr>
          <w:rFonts w:eastAsia="SimSun"/>
          <w:lang w:eastAsia="zh-CN"/>
        </w:rPr>
      </w:pPr>
      <w:r>
        <w:rPr>
          <w:rFonts w:eastAsia="SimSun"/>
          <w:lang w:eastAsia="zh-CN"/>
        </w:rPr>
        <w:t xml:space="preserve">Character Encoding: All textual content must use UTF-8 encoding to support multi-language characters. </w:t>
      </w:r>
    </w:p>
    <w:p w14:paraId="10784590" w14:textId="77777777" w:rsidR="003E0BB3" w:rsidRDefault="00E4164E">
      <w:pPr>
        <w:pStyle w:val="Bullet1"/>
        <w:suppressAutoHyphens/>
        <w:ind w:leftChars="236" w:left="720" w:hanging="295"/>
        <w:rPr>
          <w:rFonts w:eastAsia="SimSun"/>
          <w:lang w:eastAsia="zh-CN"/>
        </w:rPr>
      </w:pPr>
      <w:r>
        <w:rPr>
          <w:rFonts w:eastAsia="SimSun"/>
          <w:lang w:eastAsia="zh-CN"/>
        </w:rPr>
        <w:t xml:space="preserve">Coordinate Encoding: Geographic coordinate values should be encoded in decimal degrees, with at least 7 digits after the decimal point to ensure sufficient precision. </w:t>
      </w:r>
    </w:p>
    <w:p w14:paraId="10784591" w14:textId="77777777" w:rsidR="003E0BB3" w:rsidRDefault="00E4164E">
      <w:pPr>
        <w:pStyle w:val="Bullet1"/>
        <w:suppressAutoHyphens/>
        <w:ind w:leftChars="236" w:left="720" w:hanging="295"/>
        <w:rPr>
          <w:rFonts w:eastAsia="SimSun"/>
          <w:lang w:eastAsia="zh-CN"/>
        </w:rPr>
      </w:pPr>
      <w:r>
        <w:rPr>
          <w:rFonts w:eastAsia="SimSun"/>
          <w:lang w:eastAsia="zh-CN"/>
        </w:rPr>
        <w:t xml:space="preserve">Null Value Handling: For optional attributes, if their value is unknown or not applicable, the attribute tag should be completely omitted in the GML document. Empty tags or nilled attributes must not be used to represent them. </w:t>
      </w:r>
    </w:p>
    <w:p w14:paraId="10784592" w14:textId="77777777" w:rsidR="003E0BB3" w:rsidRDefault="003E0BB3">
      <w:pPr>
        <w:pStyle w:val="BodyText"/>
        <w:jc w:val="left"/>
        <w:rPr>
          <w:rFonts w:ascii="Calibri" w:eastAsia="SimSun" w:hAnsi="Calibri"/>
          <w:lang w:val="en-US" w:eastAsia="zh-CN"/>
        </w:rPr>
      </w:pPr>
    </w:p>
    <w:sectPr w:rsidR="003E0BB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84595" w14:textId="77777777" w:rsidR="003E0BB3" w:rsidRDefault="00E4164E">
      <w:pPr>
        <w:spacing w:line="240" w:lineRule="auto"/>
      </w:pPr>
      <w:r>
        <w:separator/>
      </w:r>
    </w:p>
  </w:endnote>
  <w:endnote w:type="continuationSeparator" w:id="0">
    <w:p w14:paraId="10784596" w14:textId="77777777" w:rsidR="003E0BB3" w:rsidRDefault="00E41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oogle Sans Text">
    <w:altName w:val="Microsoft YaHei"/>
    <w:charset w:val="86"/>
    <w:family w:val="swiss"/>
    <w:pitch w:val="default"/>
    <w:sig w:usb0="00000000" w:usb1="00000000" w:usb2="00000010" w:usb3="00000000" w:csb0="00040000" w:csb1="00000000"/>
  </w:font>
  <w:font w:name="Google Sans">
    <w:altName w:val="Microsoft YaHei"/>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98" w14:textId="77777777" w:rsidR="003E0BB3" w:rsidRDefault="00E4164E">
    <w:pPr>
      <w:pStyle w:val="Footerportrait"/>
    </w:pPr>
    <w:r>
      <w:rPr>
        <w:rFonts w:eastAsia="SimSun" w:hint="eastAsia"/>
        <w:lang w:eastAsia="zh-CN"/>
      </w:rPr>
      <w:t>Proposal to Supplement the Guideline for Shore VDES Infrastructure with a Chapter on Data Service Interface Specification</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10784599" w14:textId="77777777" w:rsidR="003E0BB3" w:rsidRDefault="003E0BB3">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9D" w14:textId="77777777" w:rsidR="003E0BB3" w:rsidRDefault="00E4164E">
    <w:pPr>
      <w:pStyle w:val="Footerportrait"/>
    </w:pPr>
    <w:r>
      <w:rPr>
        <w:rFonts w:eastAsia="SimSun" w:hint="eastAsia"/>
        <w:lang w:eastAsia="zh-CN"/>
      </w:rPr>
      <w:t>Proposal to Supplement the Guideline for Shore VDES Infrastructure with a Chapter on Data Service Interface Specification</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5</w:t>
    </w:r>
    <w:r>
      <w:rPr>
        <w:rStyle w:val="PageNumber"/>
        <w:szCs w:val="15"/>
      </w:rPr>
      <w:fldChar w:fldCharType="end"/>
    </w:r>
  </w:p>
  <w:p w14:paraId="1078459E" w14:textId="77777777" w:rsidR="003E0BB3" w:rsidRDefault="003E0BB3">
    <w:pPr>
      <w:pStyle w:val="Footer"/>
    </w:pPr>
  </w:p>
  <w:p w14:paraId="1078459F" w14:textId="77777777" w:rsidR="003E0BB3" w:rsidRDefault="003E0BB3">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84593" w14:textId="77777777" w:rsidR="003E0BB3" w:rsidRDefault="00E4164E">
      <w:pPr>
        <w:spacing w:after="0" w:line="240" w:lineRule="auto"/>
      </w:pPr>
      <w:r>
        <w:separator/>
      </w:r>
    </w:p>
  </w:footnote>
  <w:footnote w:type="continuationSeparator" w:id="0">
    <w:p w14:paraId="10784594" w14:textId="77777777" w:rsidR="003E0BB3" w:rsidRDefault="00E4164E">
      <w:pPr>
        <w:spacing w:after="0" w:line="240" w:lineRule="auto"/>
      </w:pPr>
      <w:r>
        <w:continuationSeparator/>
      </w:r>
    </w:p>
  </w:footnote>
  <w:footnote w:id="1">
    <w:p w14:paraId="107845A4" w14:textId="77777777" w:rsidR="003E0BB3" w:rsidRDefault="00E4164E">
      <w:pPr>
        <w:pStyle w:val="FootnoteText"/>
      </w:pPr>
      <w:r>
        <w:footnoteRef/>
      </w:r>
      <w:r>
        <w:t xml:space="preserve"> Input document number, to be assigned by the Committee Secretary</w:t>
      </w:r>
    </w:p>
  </w:footnote>
  <w:footnote w:id="2">
    <w:p w14:paraId="107845A5" w14:textId="77777777" w:rsidR="003E0BB3" w:rsidRDefault="00E4164E">
      <w:pPr>
        <w:pStyle w:val="FootnoteText"/>
      </w:pPr>
      <w:r>
        <w:footnoteRef/>
      </w:r>
      <w:r>
        <w:t xml:space="preserve"> Leave open if uncertain</w:t>
      </w:r>
    </w:p>
  </w:footnote>
  <w:footnote w:id="3">
    <w:p w14:paraId="107845A6" w14:textId="77777777" w:rsidR="003E0BB3" w:rsidRDefault="00E4164E">
      <w:pPr>
        <w:pStyle w:val="FootnoteText"/>
      </w:pPr>
      <w:r>
        <w:rPr>
          <w:rStyle w:val="FootnoteReference"/>
        </w:rPr>
        <w:footnoteRef/>
      </w:r>
      <w:r>
        <w:t xml:space="preserve"> 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97" w14:textId="77777777" w:rsidR="003E0BB3" w:rsidRDefault="00E4164E">
    <w:pPr>
      <w:pStyle w:val="Header"/>
      <w:jc w:val="right"/>
    </w:pPr>
    <w:r>
      <w:rPr>
        <w:noProof/>
        <w:lang w:val="nl-NL" w:eastAsia="nl-NL"/>
      </w:rPr>
      <w:drawing>
        <wp:anchor distT="0" distB="0" distL="114300" distR="114300" simplePos="0" relativeHeight="251660288" behindDoc="0" locked="0" layoutInCell="1" allowOverlap="1" wp14:anchorId="107845A0" wp14:editId="107845A1">
          <wp:simplePos x="0" y="0"/>
          <wp:positionH relativeFrom="column">
            <wp:posOffset>6055995</wp:posOffset>
          </wp:positionH>
          <wp:positionV relativeFrom="paragraph">
            <wp:posOffset>-185420</wp:posOffset>
          </wp:positionV>
          <wp:extent cx="574675" cy="560070"/>
          <wp:effectExtent l="0" t="0" r="0" b="0"/>
          <wp:wrapSquare wrapText="bothSides"/>
          <wp:docPr id="482535200"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535200"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9A" w14:textId="77777777" w:rsidR="003E0BB3" w:rsidRDefault="00E4164E">
    <w:pPr>
      <w:pStyle w:val="Header"/>
      <w:spacing w:after="0"/>
      <w:jc w:val="center"/>
    </w:pPr>
    <w:r>
      <w:rPr>
        <w:noProof/>
        <w:lang w:val="nl-NL" w:eastAsia="nl-NL"/>
      </w:rPr>
      <w:drawing>
        <wp:anchor distT="0" distB="0" distL="114300" distR="114300" simplePos="0" relativeHeight="251659264" behindDoc="0" locked="0" layoutInCell="1" allowOverlap="1" wp14:anchorId="107845A2" wp14:editId="107845A3">
          <wp:simplePos x="0" y="0"/>
          <wp:positionH relativeFrom="column">
            <wp:posOffset>2522855</wp:posOffset>
          </wp:positionH>
          <wp:positionV relativeFrom="paragraph">
            <wp:posOffset>-100330</wp:posOffset>
          </wp:positionV>
          <wp:extent cx="852805" cy="831215"/>
          <wp:effectExtent l="0" t="0" r="0" b="0"/>
          <wp:wrapSquare wrapText="bothSides"/>
          <wp:docPr id="1582256543"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256543"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078459B" w14:textId="77777777" w:rsidR="003E0BB3" w:rsidRDefault="003E0BB3">
    <w:pPr>
      <w:pStyle w:val="Header"/>
      <w:spacing w:after="0"/>
      <w:jc w:val="center"/>
    </w:pPr>
  </w:p>
  <w:p w14:paraId="1078459C" w14:textId="77777777" w:rsidR="003E0BB3" w:rsidRDefault="003E0BB3">
    <w:pPr>
      <w:pStyle w:val="Heade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FA01B"/>
    <w:multiLevelType w:val="multilevel"/>
    <w:tmpl w:val="A50FA01B"/>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696CDDA"/>
    <w:multiLevelType w:val="singleLevel"/>
    <w:tmpl w:val="0696CDDA"/>
    <w:lvl w:ilvl="0">
      <w:start w:val="1"/>
      <w:numFmt w:val="decimal"/>
      <w:lvlText w:val="[%1]"/>
      <w:lvlJc w:val="left"/>
      <w:pPr>
        <w:tabs>
          <w:tab w:val="left" w:pos="420"/>
        </w:tabs>
        <w:ind w:left="425" w:hanging="425"/>
      </w:pPr>
      <w:rPr>
        <w:rFonts w:hint="default"/>
      </w:rPr>
    </w:lvl>
  </w:abstractNum>
  <w:abstractNum w:abstractNumId="3"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0"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34970453">
    <w:abstractNumId w:val="20"/>
  </w:num>
  <w:num w:numId="2" w16cid:durableId="704019866">
    <w:abstractNumId w:val="1"/>
  </w:num>
  <w:num w:numId="3" w16cid:durableId="1614745473">
    <w:abstractNumId w:val="5"/>
  </w:num>
  <w:num w:numId="4" w16cid:durableId="488136380">
    <w:abstractNumId w:val="15"/>
  </w:num>
  <w:num w:numId="5" w16cid:durableId="156769736">
    <w:abstractNumId w:val="3"/>
  </w:num>
  <w:num w:numId="6" w16cid:durableId="1083792491">
    <w:abstractNumId w:val="21"/>
  </w:num>
  <w:num w:numId="7" w16cid:durableId="941566724">
    <w:abstractNumId w:val="16"/>
  </w:num>
  <w:num w:numId="8" w16cid:durableId="39985353">
    <w:abstractNumId w:val="24"/>
  </w:num>
  <w:num w:numId="9" w16cid:durableId="1448424632">
    <w:abstractNumId w:val="23"/>
  </w:num>
  <w:num w:numId="10" w16cid:durableId="1618412318">
    <w:abstractNumId w:val="19"/>
  </w:num>
  <w:num w:numId="11" w16cid:durableId="423575503">
    <w:abstractNumId w:val="14"/>
  </w:num>
  <w:num w:numId="12" w16cid:durableId="1618028340">
    <w:abstractNumId w:val="17"/>
  </w:num>
  <w:num w:numId="13" w16cid:durableId="420414743">
    <w:abstractNumId w:val="13"/>
  </w:num>
  <w:num w:numId="14" w16cid:durableId="1825507763">
    <w:abstractNumId w:val="6"/>
  </w:num>
  <w:num w:numId="15" w16cid:durableId="106044664">
    <w:abstractNumId w:val="4"/>
  </w:num>
  <w:num w:numId="16" w16cid:durableId="1224023274">
    <w:abstractNumId w:val="0"/>
  </w:num>
  <w:num w:numId="17" w16cid:durableId="341705843">
    <w:abstractNumId w:val="22"/>
  </w:num>
  <w:num w:numId="18" w16cid:durableId="1157066308">
    <w:abstractNumId w:val="9"/>
  </w:num>
  <w:num w:numId="19" w16cid:durableId="1376539395">
    <w:abstractNumId w:val="10"/>
  </w:num>
  <w:num w:numId="20" w16cid:durableId="915821461">
    <w:abstractNumId w:val="8"/>
  </w:num>
  <w:num w:numId="21" w16cid:durableId="227812777">
    <w:abstractNumId w:val="7"/>
  </w:num>
  <w:num w:numId="22" w16cid:durableId="247614512">
    <w:abstractNumId w:val="18"/>
  </w:num>
  <w:num w:numId="23" w16cid:durableId="216742338">
    <w:abstractNumId w:val="12"/>
  </w:num>
  <w:num w:numId="24" w16cid:durableId="1181554681">
    <w:abstractNumId w:val="11"/>
  </w:num>
  <w:num w:numId="25" w16cid:durableId="1615670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DF4FB2D3"/>
    <w:rsid w:val="000005D3"/>
    <w:rsid w:val="000049D8"/>
    <w:rsid w:val="00016330"/>
    <w:rsid w:val="00036B9E"/>
    <w:rsid w:val="00037DF4"/>
    <w:rsid w:val="000443E7"/>
    <w:rsid w:val="0004700E"/>
    <w:rsid w:val="00057FCA"/>
    <w:rsid w:val="000629EF"/>
    <w:rsid w:val="00070C13"/>
    <w:rsid w:val="000715C9"/>
    <w:rsid w:val="00084F33"/>
    <w:rsid w:val="000A77A7"/>
    <w:rsid w:val="000B1707"/>
    <w:rsid w:val="000C1B3E"/>
    <w:rsid w:val="000C349E"/>
    <w:rsid w:val="000F3DA6"/>
    <w:rsid w:val="00110203"/>
    <w:rsid w:val="00110AE7"/>
    <w:rsid w:val="00114F1B"/>
    <w:rsid w:val="001241C8"/>
    <w:rsid w:val="0017745B"/>
    <w:rsid w:val="00177F4D"/>
    <w:rsid w:val="00180DDA"/>
    <w:rsid w:val="001B2A2D"/>
    <w:rsid w:val="001B737D"/>
    <w:rsid w:val="001C44A3"/>
    <w:rsid w:val="001C62BC"/>
    <w:rsid w:val="001C77BB"/>
    <w:rsid w:val="001E0E15"/>
    <w:rsid w:val="001F528A"/>
    <w:rsid w:val="001F704E"/>
    <w:rsid w:val="00201722"/>
    <w:rsid w:val="002125B0"/>
    <w:rsid w:val="00221E08"/>
    <w:rsid w:val="00237D7C"/>
    <w:rsid w:val="00243228"/>
    <w:rsid w:val="00245F45"/>
    <w:rsid w:val="00251483"/>
    <w:rsid w:val="00255CAA"/>
    <w:rsid w:val="0025741F"/>
    <w:rsid w:val="00264305"/>
    <w:rsid w:val="00286FEF"/>
    <w:rsid w:val="00291310"/>
    <w:rsid w:val="002A0346"/>
    <w:rsid w:val="002A0929"/>
    <w:rsid w:val="002A4487"/>
    <w:rsid w:val="002B0782"/>
    <w:rsid w:val="002B49E9"/>
    <w:rsid w:val="002C632E"/>
    <w:rsid w:val="002D3E8B"/>
    <w:rsid w:val="002D4575"/>
    <w:rsid w:val="002D5C0C"/>
    <w:rsid w:val="002E03D1"/>
    <w:rsid w:val="002E6B74"/>
    <w:rsid w:val="002E6FCA"/>
    <w:rsid w:val="003351C4"/>
    <w:rsid w:val="00345FAF"/>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E0BB3"/>
    <w:rsid w:val="003F2918"/>
    <w:rsid w:val="003F430E"/>
    <w:rsid w:val="00407720"/>
    <w:rsid w:val="0041088C"/>
    <w:rsid w:val="0041230E"/>
    <w:rsid w:val="00420A38"/>
    <w:rsid w:val="00426DB3"/>
    <w:rsid w:val="00431B19"/>
    <w:rsid w:val="00445613"/>
    <w:rsid w:val="004533B7"/>
    <w:rsid w:val="004661AD"/>
    <w:rsid w:val="00467DA8"/>
    <w:rsid w:val="00480615"/>
    <w:rsid w:val="004D1D85"/>
    <w:rsid w:val="004D3C3A"/>
    <w:rsid w:val="004E1CD1"/>
    <w:rsid w:val="004F7616"/>
    <w:rsid w:val="0050690E"/>
    <w:rsid w:val="005107EB"/>
    <w:rsid w:val="005130FD"/>
    <w:rsid w:val="005147AF"/>
    <w:rsid w:val="00521345"/>
    <w:rsid w:val="00526DF0"/>
    <w:rsid w:val="00545CC4"/>
    <w:rsid w:val="00551FFF"/>
    <w:rsid w:val="005607A2"/>
    <w:rsid w:val="0057198B"/>
    <w:rsid w:val="00573CFE"/>
    <w:rsid w:val="005969F2"/>
    <w:rsid w:val="00597FAE"/>
    <w:rsid w:val="005A6084"/>
    <w:rsid w:val="005B32A3"/>
    <w:rsid w:val="005C0D44"/>
    <w:rsid w:val="005C566C"/>
    <w:rsid w:val="005C7E69"/>
    <w:rsid w:val="005E262D"/>
    <w:rsid w:val="005F23D3"/>
    <w:rsid w:val="005F7E20"/>
    <w:rsid w:val="00605E43"/>
    <w:rsid w:val="00612C42"/>
    <w:rsid w:val="006153BB"/>
    <w:rsid w:val="00635ADD"/>
    <w:rsid w:val="00636696"/>
    <w:rsid w:val="00637047"/>
    <w:rsid w:val="00642E0D"/>
    <w:rsid w:val="006652C3"/>
    <w:rsid w:val="00691FD0"/>
    <w:rsid w:val="00692148"/>
    <w:rsid w:val="006A1A1E"/>
    <w:rsid w:val="006C24D5"/>
    <w:rsid w:val="006C5948"/>
    <w:rsid w:val="006E2121"/>
    <w:rsid w:val="006F2A74"/>
    <w:rsid w:val="00706C29"/>
    <w:rsid w:val="007118F5"/>
    <w:rsid w:val="00712AA4"/>
    <w:rsid w:val="007146C4"/>
    <w:rsid w:val="00721AA1"/>
    <w:rsid w:val="00724B67"/>
    <w:rsid w:val="00736755"/>
    <w:rsid w:val="007547F8"/>
    <w:rsid w:val="00765622"/>
    <w:rsid w:val="00770B6C"/>
    <w:rsid w:val="00774730"/>
    <w:rsid w:val="00783FEA"/>
    <w:rsid w:val="007926DC"/>
    <w:rsid w:val="007A395D"/>
    <w:rsid w:val="007A7FD7"/>
    <w:rsid w:val="007C346C"/>
    <w:rsid w:val="007D63E3"/>
    <w:rsid w:val="007E349F"/>
    <w:rsid w:val="0080294B"/>
    <w:rsid w:val="0082480E"/>
    <w:rsid w:val="00841252"/>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13D32"/>
    <w:rsid w:val="00923F17"/>
    <w:rsid w:val="0092692B"/>
    <w:rsid w:val="00940205"/>
    <w:rsid w:val="00943E9C"/>
    <w:rsid w:val="00953F4D"/>
    <w:rsid w:val="00960BB8"/>
    <w:rsid w:val="00964F5C"/>
    <w:rsid w:val="00973B57"/>
    <w:rsid w:val="00975C94"/>
    <w:rsid w:val="009831C0"/>
    <w:rsid w:val="009874F9"/>
    <w:rsid w:val="0099161D"/>
    <w:rsid w:val="009B7751"/>
    <w:rsid w:val="009C5F41"/>
    <w:rsid w:val="00A01B17"/>
    <w:rsid w:val="00A0389B"/>
    <w:rsid w:val="00A12505"/>
    <w:rsid w:val="00A26017"/>
    <w:rsid w:val="00A446C9"/>
    <w:rsid w:val="00A51DEF"/>
    <w:rsid w:val="00A53A38"/>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1F93"/>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01FBC"/>
    <w:rsid w:val="00D1133E"/>
    <w:rsid w:val="00D17A34"/>
    <w:rsid w:val="00D26628"/>
    <w:rsid w:val="00D332B3"/>
    <w:rsid w:val="00D378FF"/>
    <w:rsid w:val="00D423E5"/>
    <w:rsid w:val="00D55207"/>
    <w:rsid w:val="00D60825"/>
    <w:rsid w:val="00D81801"/>
    <w:rsid w:val="00D92B45"/>
    <w:rsid w:val="00D95962"/>
    <w:rsid w:val="00DC389B"/>
    <w:rsid w:val="00DE2FEE"/>
    <w:rsid w:val="00DE3F14"/>
    <w:rsid w:val="00E00BE9"/>
    <w:rsid w:val="00E04761"/>
    <w:rsid w:val="00E22A11"/>
    <w:rsid w:val="00E31E5C"/>
    <w:rsid w:val="00E4164E"/>
    <w:rsid w:val="00E44DD2"/>
    <w:rsid w:val="00E558C3"/>
    <w:rsid w:val="00E55927"/>
    <w:rsid w:val="00E912A6"/>
    <w:rsid w:val="00EA4844"/>
    <w:rsid w:val="00EA4D9C"/>
    <w:rsid w:val="00EA5A97"/>
    <w:rsid w:val="00EB75EE"/>
    <w:rsid w:val="00ED5477"/>
    <w:rsid w:val="00EE4C1D"/>
    <w:rsid w:val="00EF3685"/>
    <w:rsid w:val="00F04350"/>
    <w:rsid w:val="00F133DB"/>
    <w:rsid w:val="00F145C2"/>
    <w:rsid w:val="00F159EB"/>
    <w:rsid w:val="00F25BF4"/>
    <w:rsid w:val="00F267DB"/>
    <w:rsid w:val="00F46F6F"/>
    <w:rsid w:val="00F60608"/>
    <w:rsid w:val="00F62217"/>
    <w:rsid w:val="00F71ACC"/>
    <w:rsid w:val="00F83F18"/>
    <w:rsid w:val="00FB17A9"/>
    <w:rsid w:val="00FB527C"/>
    <w:rsid w:val="00FB6F75"/>
    <w:rsid w:val="00FC0EB3"/>
    <w:rsid w:val="00FD675E"/>
    <w:rsid w:val="00FE0C13"/>
    <w:rsid w:val="00FE45D2"/>
    <w:rsid w:val="00FE5674"/>
    <w:rsid w:val="0CEE6D0E"/>
    <w:rsid w:val="12510DAF"/>
    <w:rsid w:val="2C727D1E"/>
    <w:rsid w:val="33423060"/>
    <w:rsid w:val="335C27BE"/>
    <w:rsid w:val="374B3602"/>
    <w:rsid w:val="4E6323B1"/>
    <w:rsid w:val="555E38D2"/>
    <w:rsid w:val="558570B1"/>
    <w:rsid w:val="5AF820D3"/>
    <w:rsid w:val="63EB30A7"/>
    <w:rsid w:val="67DD4B2A"/>
    <w:rsid w:val="73A070BE"/>
    <w:rsid w:val="74D3353D"/>
    <w:rsid w:val="78A23D04"/>
    <w:rsid w:val="7B3767D8"/>
    <w:rsid w:val="7B4F07F8"/>
    <w:rsid w:val="7D940E5B"/>
    <w:rsid w:val="7DD87E16"/>
    <w:rsid w:val="7E4228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7844DC"/>
  <w15:docId w15:val="{DF28C67D-3214-4C39-89E3-A80B183D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16" w:lineRule="atLeast"/>
    </w:pPr>
    <w:rPr>
      <w:rFonts w:asciiTheme="minorHAnsi" w:eastAsiaTheme="minorHAnsi" w:hAnsiTheme="minorHAnsi" w:cstheme="minorBidi"/>
      <w:sz w:val="18"/>
      <w:szCs w:val="22"/>
      <w:lang w:val="en-GB"/>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val="en-GB"/>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after="160" w:line="240" w:lineRule="exact"/>
    </w:pPr>
    <w:rPr>
      <w:rFonts w:asciiTheme="minorHAnsi" w:eastAsiaTheme="minorHAnsi" w:hAnsiTheme="minorHAnsi" w:cstheme="minorBidi"/>
      <w:szCs w:val="22"/>
      <w:lang w:val="en-GB"/>
    </w:rPr>
  </w:style>
  <w:style w:type="paragraph" w:styleId="Header">
    <w:name w:val="header"/>
    <w:link w:val="HeaderChar"/>
    <w:qFormat/>
    <w:pPr>
      <w:spacing w:after="160" w:line="240" w:lineRule="exact"/>
    </w:pPr>
    <w:rPr>
      <w:rFonts w:asciiTheme="minorHAnsi" w:eastAsiaTheme="minorHAnsi" w:hAnsiTheme="minorHAnsi" w:cstheme="minorBidi"/>
      <w:szCs w:val="22"/>
      <w:lang w:val="en-GB"/>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line="278" w:lineRule="auto"/>
    </w:pPr>
    <w:rPr>
      <w:rFonts w:asciiTheme="majorHAnsi" w:eastAsia="Calibri" w:hAnsiTheme="majorHAnsi" w:cs="Calibri"/>
      <w:b/>
      <w:bCs/>
      <w:caps/>
      <w:color w:val="00558C"/>
      <w:sz w:val="28"/>
      <w:szCs w:val="28"/>
      <w:lang w:val="en-GB"/>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pPr>
      <w:spacing w:after="160" w:line="278" w:lineRule="auto"/>
    </w:pPr>
    <w:rPr>
      <w:rFonts w:asciiTheme="minorHAnsi" w:eastAsiaTheme="minorHAnsi" w:hAnsiTheme="minorHAnsi" w:cstheme="minorBidi"/>
      <w:sz w:val="18"/>
      <w:szCs w:val="22"/>
      <w:lang w:val="en-GB"/>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spacing w:after="160" w:line="278"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pPr>
      <w:spacing w:after="160" w:line="278" w:lineRule="auto"/>
    </w:pPr>
    <w:rPr>
      <w:rFonts w:asciiTheme="minorHAnsi" w:eastAsiaTheme="minorHAnsi" w:hAnsiTheme="minorHAnsi" w:cstheme="minorBidi"/>
      <w:sz w:val="18"/>
      <w:szCs w:val="22"/>
      <w:lang w:val="en-GB"/>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table" w:customStyle="1" w:styleId="Style12">
    <w:name w:val="_Style 12"/>
    <w:basedOn w:val="TableNormal"/>
    <w:qFormat/>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5B6CE-88AD-4439-A2A0-0386DA45A3F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9B9318D4-BD9D-42DA-B351-66D5DB8E8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8707C-0871-45B6-BF69-68DC388A6A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1549</Words>
  <Characters>9802</Characters>
  <Application>Microsoft Office Word</Application>
  <DocSecurity>0</DocSecurity>
  <Lines>215</Lines>
  <Paragraphs>138</Paragraphs>
  <ScaleCrop>false</ScaleCrop>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3</cp:revision>
  <dcterms:created xsi:type="dcterms:W3CDTF">2025-09-02T12:34:00Z</dcterms:created>
  <dcterms:modified xsi:type="dcterms:W3CDTF">2025-09-02T12:35:00Z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TemplateDocerSaveRecord">
    <vt:lpwstr>eyJoZGlkIjoiNDExY2YxOTFjNzI5ZDBmMWJkYWExYzFkZjcxMjYyZTUiLCJ1c2VySWQiOiI0MTM1NjIzNjcifQ==</vt:lpwstr>
  </property>
  <property fmtid="{D5CDD505-2E9C-101B-9397-08002B2CF9AE}" pid="4" name="KSOProductBuildVer">
    <vt:lpwstr>2052-12.1.0.21915</vt:lpwstr>
  </property>
  <property fmtid="{D5CDD505-2E9C-101B-9397-08002B2CF9AE}" pid="5" name="ICV">
    <vt:lpwstr>65057AE455EF4C639514C31A9C2C7E3B_13</vt:lpwstr>
  </property>
  <property fmtid="{D5CDD505-2E9C-101B-9397-08002B2CF9AE}" pid="6" name="GrammarlyDocumentId">
    <vt:lpwstr>683b170c-cfc0-4bd7-bb44-f6a98b0bb987</vt:lpwstr>
  </property>
  <property fmtid="{D5CDD505-2E9C-101B-9397-08002B2CF9AE}" pid="7" name="MediaServiceImageTags">
    <vt:lpwstr/>
  </property>
</Properties>
</file>